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АНАЛІЗ</w:t>
      </w:r>
    </w:p>
    <w:p w:rsidR="00370513" w:rsidRPr="00370513" w:rsidRDefault="00370513" w:rsidP="00370513">
      <w:pPr>
        <w:pStyle w:val="a4"/>
        <w:ind w:right="-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0513">
        <w:rPr>
          <w:rFonts w:ascii="Times New Roman" w:hAnsi="Times New Roman" w:cs="Times New Roman"/>
          <w:i w:val="0"/>
          <w:sz w:val="28"/>
          <w:szCs w:val="28"/>
        </w:rPr>
        <w:t xml:space="preserve">регуляторного впливу </w:t>
      </w:r>
      <w:r w:rsidRPr="00370513">
        <w:rPr>
          <w:rFonts w:ascii="Times New Roman" w:hAnsi="Times New Roman" w:cs="Times New Roman"/>
          <w:i w:val="0"/>
          <w:snapToGrid w:val="0"/>
          <w:sz w:val="28"/>
          <w:szCs w:val="28"/>
        </w:rPr>
        <w:t xml:space="preserve">проекту </w:t>
      </w:r>
      <w:r w:rsidRPr="00370513">
        <w:rPr>
          <w:rFonts w:ascii="Times New Roman" w:hAnsi="Times New Roman" w:cs="Times New Roman"/>
          <w:i w:val="0"/>
          <w:sz w:val="28"/>
          <w:szCs w:val="28"/>
        </w:rPr>
        <w:t>рішення Пирятинської міської ради</w:t>
      </w:r>
    </w:p>
    <w:p w:rsidR="00370513" w:rsidRPr="00370513" w:rsidRDefault="00370513" w:rsidP="00370513">
      <w:pPr>
        <w:pStyle w:val="a4"/>
        <w:ind w:right="-6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70513">
        <w:rPr>
          <w:rFonts w:ascii="Times New Roman" w:hAnsi="Times New Roman" w:cs="Times New Roman"/>
          <w:i w:val="0"/>
          <w:sz w:val="28"/>
          <w:szCs w:val="28"/>
        </w:rPr>
        <w:t>„Про</w:t>
      </w:r>
      <w:proofErr w:type="spellEnd"/>
      <w:r w:rsidRPr="00370513">
        <w:rPr>
          <w:rFonts w:ascii="Times New Roman" w:hAnsi="Times New Roman" w:cs="Times New Roman"/>
          <w:i w:val="0"/>
          <w:sz w:val="28"/>
          <w:szCs w:val="28"/>
        </w:rPr>
        <w:t xml:space="preserve"> плату за землю на 2016 рік“</w:t>
      </w:r>
    </w:p>
    <w:p w:rsidR="00370513" w:rsidRPr="00370513" w:rsidRDefault="00370513" w:rsidP="00370513">
      <w:pPr>
        <w:pStyle w:val="a4"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0513" w:rsidRPr="00370513" w:rsidRDefault="00370513" w:rsidP="00370513">
      <w:pPr>
        <w:ind w:firstLine="720"/>
        <w:jc w:val="both"/>
        <w:rPr>
          <w:sz w:val="28"/>
          <w:szCs w:val="28"/>
        </w:rPr>
      </w:pPr>
      <w:r w:rsidRPr="00370513">
        <w:rPr>
          <w:sz w:val="28"/>
          <w:szCs w:val="28"/>
          <w:lang w:val="uk-UA"/>
        </w:rPr>
        <w:t>Пропозиції та зауваження щодо проекту рішення  приймаються розр</w:t>
      </w:r>
      <w:r w:rsidRPr="00370513">
        <w:rPr>
          <w:sz w:val="28"/>
          <w:szCs w:val="28"/>
          <w:lang w:val="uk-UA"/>
        </w:rPr>
        <w:t>о</w:t>
      </w:r>
      <w:r w:rsidRPr="00370513">
        <w:rPr>
          <w:sz w:val="28"/>
          <w:szCs w:val="28"/>
          <w:lang w:val="uk-UA"/>
        </w:rPr>
        <w:t>бником від фізичних  осіб,  фізичних осіб - суб’єктів підприємницької діял</w:t>
      </w:r>
      <w:r w:rsidRPr="00370513">
        <w:rPr>
          <w:sz w:val="28"/>
          <w:szCs w:val="28"/>
          <w:lang w:val="uk-UA"/>
        </w:rPr>
        <w:t>ь</w:t>
      </w:r>
      <w:r w:rsidRPr="00370513">
        <w:rPr>
          <w:sz w:val="28"/>
          <w:szCs w:val="28"/>
          <w:lang w:val="uk-UA"/>
        </w:rPr>
        <w:t xml:space="preserve">ності та юридичних осіб у письмовій формі за адресою: </w:t>
      </w:r>
      <w:smartTag w:uri="urn:schemas-microsoft-com:office:smarttags" w:element="metricconverter">
        <w:smartTagPr>
          <w:attr w:name="ProductID" w:val="37000, м"/>
        </w:smartTagPr>
        <w:r w:rsidRPr="00370513">
          <w:rPr>
            <w:sz w:val="28"/>
            <w:szCs w:val="28"/>
            <w:lang w:val="uk-UA"/>
          </w:rPr>
          <w:t xml:space="preserve">37000, </w:t>
        </w:r>
        <w:proofErr w:type="spellStart"/>
        <w:r w:rsidRPr="00370513">
          <w:rPr>
            <w:sz w:val="28"/>
            <w:szCs w:val="28"/>
            <w:lang w:val="uk-UA"/>
          </w:rPr>
          <w:t>м</w:t>
        </w:r>
      </w:smartTag>
      <w:r w:rsidRPr="00370513">
        <w:rPr>
          <w:sz w:val="28"/>
          <w:szCs w:val="28"/>
          <w:lang w:val="uk-UA"/>
        </w:rPr>
        <w:t>.Пирятин</w:t>
      </w:r>
      <w:proofErr w:type="spellEnd"/>
      <w:r w:rsidRPr="00370513">
        <w:rPr>
          <w:sz w:val="28"/>
          <w:szCs w:val="28"/>
          <w:lang w:val="uk-UA"/>
        </w:rPr>
        <w:t xml:space="preserve">, вул. Леніна, 21. </w:t>
      </w:r>
      <w:proofErr w:type="spellStart"/>
      <w:r w:rsidRPr="00370513">
        <w:rPr>
          <w:sz w:val="28"/>
          <w:szCs w:val="28"/>
        </w:rPr>
        <w:t>Пропозиції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приймаються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протягом</w:t>
      </w:r>
      <w:proofErr w:type="spellEnd"/>
      <w:r w:rsidRPr="00370513">
        <w:rPr>
          <w:sz w:val="28"/>
          <w:szCs w:val="28"/>
        </w:rPr>
        <w:t xml:space="preserve">  </w:t>
      </w:r>
      <w:r w:rsidRPr="00370513">
        <w:rPr>
          <w:sz w:val="28"/>
          <w:szCs w:val="28"/>
          <w:lang w:val="uk-UA"/>
        </w:rPr>
        <w:t xml:space="preserve">одного </w:t>
      </w:r>
      <w:proofErr w:type="spellStart"/>
      <w:r w:rsidRPr="00370513">
        <w:rPr>
          <w:sz w:val="28"/>
          <w:szCs w:val="28"/>
        </w:rPr>
        <w:t>місяця</w:t>
      </w:r>
      <w:proofErr w:type="spellEnd"/>
      <w:r w:rsidRPr="00370513">
        <w:rPr>
          <w:sz w:val="28"/>
          <w:szCs w:val="28"/>
        </w:rPr>
        <w:t xml:space="preserve">  з  дня  оп</w:t>
      </w:r>
      <w:proofErr w:type="spellStart"/>
      <w:r w:rsidRPr="00370513">
        <w:rPr>
          <w:sz w:val="28"/>
          <w:szCs w:val="28"/>
          <w:lang w:val="uk-UA"/>
        </w:rPr>
        <w:t>рилюднення</w:t>
      </w:r>
      <w:proofErr w:type="spellEnd"/>
      <w:r w:rsidRPr="00370513">
        <w:rPr>
          <w:sz w:val="28"/>
          <w:szCs w:val="28"/>
        </w:rPr>
        <w:t xml:space="preserve">  проекту  регуляторного  акту.</w:t>
      </w:r>
    </w:p>
    <w:p w:rsidR="00370513" w:rsidRPr="00370513" w:rsidRDefault="00370513" w:rsidP="00370513">
      <w:pPr>
        <w:widowControl w:val="0"/>
        <w:ind w:firstLine="851"/>
        <w:jc w:val="both"/>
        <w:rPr>
          <w:snapToGrid w:val="0"/>
          <w:sz w:val="28"/>
          <w:szCs w:val="28"/>
          <w:lang w:val="uk-UA"/>
        </w:rPr>
      </w:pPr>
    </w:p>
    <w:p w:rsidR="00370513" w:rsidRPr="00370513" w:rsidRDefault="00370513" w:rsidP="00370513">
      <w:pPr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 w:rsidRPr="00370513">
        <w:rPr>
          <w:b/>
          <w:sz w:val="28"/>
          <w:szCs w:val="28"/>
        </w:rPr>
        <w:t>Визначення</w:t>
      </w:r>
      <w:proofErr w:type="spellEnd"/>
      <w:r w:rsidRPr="00370513">
        <w:rPr>
          <w:b/>
          <w:sz w:val="28"/>
          <w:szCs w:val="28"/>
        </w:rPr>
        <w:t xml:space="preserve">  </w:t>
      </w:r>
      <w:proofErr w:type="spellStart"/>
      <w:r w:rsidRPr="00370513">
        <w:rPr>
          <w:b/>
          <w:sz w:val="28"/>
          <w:szCs w:val="28"/>
        </w:rPr>
        <w:t>проблеми</w:t>
      </w:r>
      <w:proofErr w:type="spellEnd"/>
      <w:r w:rsidRPr="00370513">
        <w:rPr>
          <w:b/>
          <w:sz w:val="28"/>
          <w:szCs w:val="28"/>
        </w:rPr>
        <w:t xml:space="preserve">,  яку  </w:t>
      </w:r>
      <w:proofErr w:type="spellStart"/>
      <w:r w:rsidRPr="00370513">
        <w:rPr>
          <w:b/>
          <w:sz w:val="28"/>
          <w:szCs w:val="28"/>
        </w:rPr>
        <w:t>передбачається</w:t>
      </w:r>
      <w:proofErr w:type="spellEnd"/>
      <w:r w:rsidRPr="00370513">
        <w:rPr>
          <w:b/>
          <w:sz w:val="28"/>
          <w:szCs w:val="28"/>
        </w:rPr>
        <w:t xml:space="preserve">  </w:t>
      </w:r>
      <w:proofErr w:type="spellStart"/>
      <w:r w:rsidRPr="00370513">
        <w:rPr>
          <w:b/>
          <w:sz w:val="28"/>
          <w:szCs w:val="28"/>
        </w:rPr>
        <w:t>розв’язати</w:t>
      </w:r>
      <w:proofErr w:type="spellEnd"/>
      <w:r w:rsidRPr="00370513">
        <w:rPr>
          <w:b/>
          <w:sz w:val="28"/>
          <w:szCs w:val="28"/>
        </w:rPr>
        <w:t xml:space="preserve">  </w:t>
      </w: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шляхом  державного  регулювання</w:t>
      </w:r>
    </w:p>
    <w:p w:rsidR="00370513" w:rsidRPr="00370513" w:rsidRDefault="00370513" w:rsidP="00370513">
      <w:pPr>
        <w:pStyle w:val="a4"/>
        <w:ind w:firstLine="90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Відповідно до підпункту 265.1.3 пункту 265.1 статті 265 Податкового кодексу України до складу податку на майно входить плата за землю. Відп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відно до </w:t>
      </w:r>
      <w:proofErr w:type="spellStart"/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статтей</w:t>
      </w:r>
      <w:proofErr w:type="spellEnd"/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269 та 288 Податкового кодексу плата за землю включає з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мельний податок та орендну плату відповідно. </w:t>
      </w:r>
    </w:p>
    <w:p w:rsidR="00370513" w:rsidRPr="00370513" w:rsidRDefault="00370513" w:rsidP="00370513">
      <w:pPr>
        <w:pStyle w:val="a4"/>
        <w:ind w:firstLine="90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В даний час питання, пов’язані з розрахунком ставок орендної плати</w:t>
      </w:r>
      <w:r w:rsidRPr="00370513">
        <w:rPr>
          <w:rFonts w:ascii="Times New Roman" w:hAnsi="Times New Roman" w:cs="Times New Roman"/>
          <w:b w:val="0"/>
          <w:i w:val="0"/>
          <w:snapToGrid w:val="0"/>
          <w:sz w:val="28"/>
          <w:szCs w:val="28"/>
        </w:rPr>
        <w:t xml:space="preserve"> за користування землею 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регулюються рішенням двадцять сьомої сесії шост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 скликання від 26 червня 2013 року </w:t>
      </w:r>
      <w:proofErr w:type="spellStart"/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„Про</w:t>
      </w:r>
      <w:proofErr w:type="spellEnd"/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затвердження ставок орендної плати за земельні ділянки несільськогосподарського призначення за їх ціль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вим та функціональним використанням у відсотковому відношенні до норм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тивної грошової оцінки земель м. Пирятин“. Ставки земельного податку в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значалися відповідно до законодавства.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Пропонується для розгляду громадою міста проект ставок земельного податку та пільг щодо звільнення від сплати земельного податку:</w:t>
      </w:r>
    </w:p>
    <w:p w:rsidR="00370513" w:rsidRPr="00370513" w:rsidRDefault="00370513" w:rsidP="00370513">
      <w:pPr>
        <w:pStyle w:val="a6"/>
        <w:tabs>
          <w:tab w:val="left" w:pos="709"/>
          <w:tab w:val="num" w:pos="1785"/>
        </w:tabs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r w:rsidRPr="00370513">
        <w:rPr>
          <w:rFonts w:ascii="Times New Roman" w:hAnsi="Times New Roman" w:cs="Times New Roman"/>
          <w:sz w:val="28"/>
          <w:szCs w:val="28"/>
        </w:rPr>
        <w:t xml:space="preserve">              за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нормативну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проведено (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</w:t>
      </w:r>
      <w:r w:rsidRPr="00370513">
        <w:rPr>
          <w:rFonts w:ascii="Times New Roman" w:hAnsi="Times New Roman" w:cs="Times New Roman"/>
          <w:sz w:val="28"/>
          <w:szCs w:val="28"/>
        </w:rPr>
        <w:t>е</w:t>
      </w:r>
      <w:r w:rsidRPr="0037051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) – у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,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а для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сільськогосподарських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угідь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70513">
        <w:rPr>
          <w:rFonts w:ascii="Times New Roman" w:hAnsi="Times New Roman" w:cs="Times New Roman"/>
          <w:sz w:val="28"/>
          <w:szCs w:val="28"/>
        </w:rPr>
        <w:t>–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0,1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відсотка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від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їх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но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>р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>мативної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грошової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оцінки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370513" w:rsidRPr="00370513" w:rsidRDefault="00370513" w:rsidP="00370513">
      <w:pPr>
        <w:pStyle w:val="a6"/>
        <w:tabs>
          <w:tab w:val="left" w:pos="709"/>
          <w:tab w:val="num" w:pos="1785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0513">
        <w:rPr>
          <w:rFonts w:ascii="Times New Roman" w:hAnsi="Times New Roman" w:cs="Times New Roman"/>
          <w:color w:val="1C1C1C"/>
          <w:sz w:val="28"/>
          <w:szCs w:val="28"/>
        </w:rPr>
        <w:tab/>
        <w:t xml:space="preserve">    за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земельні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ділянки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які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перебувають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у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постійному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користуванні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суб’єктів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господарювання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70513">
        <w:rPr>
          <w:rFonts w:ascii="Times New Roman" w:hAnsi="Times New Roman" w:cs="Times New Roman"/>
          <w:sz w:val="28"/>
          <w:szCs w:val="28"/>
        </w:rPr>
        <w:t>–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у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розмірі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5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відсотків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proofErr w:type="gram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</w:t>
      </w:r>
      <w:proofErr w:type="gramEnd"/>
      <w:r w:rsidRPr="00370513">
        <w:rPr>
          <w:rFonts w:ascii="Times New Roman" w:hAnsi="Times New Roman" w:cs="Times New Roman"/>
          <w:color w:val="1C1C1C"/>
          <w:sz w:val="28"/>
          <w:szCs w:val="28"/>
        </w:rPr>
        <w:t>ід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їх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нормативної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грошової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оцінки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(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крім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державної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комунальної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форми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власності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>);</w:t>
      </w:r>
    </w:p>
    <w:p w:rsidR="00370513" w:rsidRPr="00370513" w:rsidRDefault="00370513" w:rsidP="00370513">
      <w:pPr>
        <w:pStyle w:val="a6"/>
        <w:tabs>
          <w:tab w:val="left" w:pos="709"/>
          <w:tab w:val="num" w:pos="1785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0513">
        <w:rPr>
          <w:rFonts w:ascii="Times New Roman" w:hAnsi="Times New Roman" w:cs="Times New Roman"/>
          <w:color w:val="1C1C1C"/>
          <w:sz w:val="28"/>
          <w:szCs w:val="28"/>
        </w:rPr>
        <w:tab/>
        <w:t xml:space="preserve">    за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земельні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ділянки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розташовані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за межами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населених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пунктів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но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>р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>мативну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грошову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оцінку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яких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не проведено – у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розмірі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5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відсотків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proofErr w:type="gram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</w:t>
      </w:r>
      <w:proofErr w:type="gramEnd"/>
      <w:r w:rsidRPr="00370513">
        <w:rPr>
          <w:rFonts w:ascii="Times New Roman" w:hAnsi="Times New Roman" w:cs="Times New Roman"/>
          <w:color w:val="1C1C1C"/>
          <w:sz w:val="28"/>
          <w:szCs w:val="28"/>
        </w:rPr>
        <w:t>ід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норм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>а</w:t>
      </w:r>
      <w:r w:rsidRPr="00370513">
        <w:rPr>
          <w:rFonts w:ascii="Times New Roman" w:hAnsi="Times New Roman" w:cs="Times New Roman"/>
          <w:color w:val="1C1C1C"/>
          <w:sz w:val="28"/>
          <w:szCs w:val="28"/>
        </w:rPr>
        <w:t>тивної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грошової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оцінки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одиниці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площі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ріллі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по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області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370513" w:rsidRPr="00370513" w:rsidRDefault="00370513" w:rsidP="00370513">
      <w:pPr>
        <w:pStyle w:val="a6"/>
        <w:tabs>
          <w:tab w:val="left" w:pos="709"/>
          <w:tab w:val="num" w:pos="1785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0513">
        <w:rPr>
          <w:rFonts w:ascii="Times New Roman" w:hAnsi="Times New Roman" w:cs="Times New Roman"/>
          <w:color w:val="1C1C1C"/>
          <w:sz w:val="28"/>
          <w:szCs w:val="28"/>
        </w:rPr>
        <w:tab/>
        <w:t xml:space="preserve">    </w:t>
      </w:r>
      <w:r w:rsidRPr="0037051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фондом, автостоя</w:t>
      </w:r>
      <w:r w:rsidRPr="00370513">
        <w:rPr>
          <w:rFonts w:ascii="Times New Roman" w:hAnsi="Times New Roman" w:cs="Times New Roman"/>
          <w:sz w:val="28"/>
          <w:szCs w:val="28"/>
        </w:rPr>
        <w:t>н</w:t>
      </w:r>
      <w:r w:rsidRPr="00370513">
        <w:rPr>
          <w:rFonts w:ascii="Times New Roman" w:hAnsi="Times New Roman" w:cs="Times New Roman"/>
          <w:sz w:val="28"/>
          <w:szCs w:val="28"/>
        </w:rPr>
        <w:t xml:space="preserve">ками для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викор</w:t>
      </w:r>
      <w:r w:rsidRPr="00370513">
        <w:rPr>
          <w:rFonts w:ascii="Times New Roman" w:hAnsi="Times New Roman" w:cs="Times New Roman"/>
          <w:sz w:val="28"/>
          <w:szCs w:val="28"/>
        </w:rPr>
        <w:t>и</w:t>
      </w:r>
      <w:r w:rsidRPr="00370513">
        <w:rPr>
          <w:rFonts w:ascii="Times New Roman" w:hAnsi="Times New Roman" w:cs="Times New Roman"/>
          <w:sz w:val="28"/>
          <w:szCs w:val="28"/>
        </w:rPr>
        <w:t>стовуються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, гаражно-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, дачно-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садівницькими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товариствами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гаражами,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садовими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дачними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будинками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господарськими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</w:t>
      </w:r>
      <w:r w:rsidRPr="00370513">
        <w:rPr>
          <w:rFonts w:ascii="Times New Roman" w:hAnsi="Times New Roman" w:cs="Times New Roman"/>
          <w:sz w:val="28"/>
          <w:szCs w:val="28"/>
        </w:rPr>
        <w:t>о</w:t>
      </w:r>
      <w:r w:rsidRPr="00370513">
        <w:rPr>
          <w:rFonts w:ascii="Times New Roman" w:hAnsi="Times New Roman" w:cs="Times New Roman"/>
          <w:sz w:val="28"/>
          <w:szCs w:val="28"/>
        </w:rPr>
        <w:t>рудами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багаторічними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насадженнями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справляється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0,03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в</w:t>
      </w:r>
      <w:proofErr w:type="gramEnd"/>
      <w:r w:rsidRPr="00370513">
        <w:rPr>
          <w:rFonts w:ascii="Times New Roman" w:hAnsi="Times New Roman" w:cs="Times New Roman"/>
          <w:color w:val="1C1C1C"/>
          <w:sz w:val="28"/>
          <w:szCs w:val="28"/>
        </w:rPr>
        <w:t>ід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їх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нормативної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грошової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color w:val="1C1C1C"/>
          <w:sz w:val="28"/>
          <w:szCs w:val="28"/>
        </w:rPr>
        <w:t>оцінки</w:t>
      </w:r>
      <w:proofErr w:type="spellEnd"/>
      <w:r w:rsidRPr="00370513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370513" w:rsidRPr="00370513" w:rsidRDefault="00370513" w:rsidP="00370513">
      <w:pPr>
        <w:pStyle w:val="a6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513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</w:t>
      </w:r>
      <w:r w:rsidRPr="00370513">
        <w:rPr>
          <w:rFonts w:ascii="Times New Roman" w:hAnsi="Times New Roman" w:cs="Times New Roman"/>
          <w:sz w:val="28"/>
          <w:szCs w:val="28"/>
        </w:rPr>
        <w:t>о</w:t>
      </w:r>
      <w:r w:rsidRPr="00370513">
        <w:rPr>
          <w:rFonts w:ascii="Times New Roman" w:hAnsi="Times New Roman" w:cs="Times New Roman"/>
          <w:sz w:val="28"/>
          <w:szCs w:val="28"/>
        </w:rPr>
        <w:t>датку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: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513">
        <w:rPr>
          <w:rFonts w:ascii="Times New Roman" w:hAnsi="Times New Roman" w:cs="Times New Roman"/>
          <w:sz w:val="28"/>
          <w:szCs w:val="28"/>
        </w:rPr>
        <w:lastRenderedPageBreak/>
        <w:t>заповідники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історико-культурні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парки, заказники (</w:t>
      </w: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мисливських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), парки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вла</w:t>
      </w:r>
      <w:r w:rsidRPr="00370513">
        <w:rPr>
          <w:rFonts w:ascii="Times New Roman" w:hAnsi="Times New Roman" w:cs="Times New Roman"/>
          <w:sz w:val="28"/>
          <w:szCs w:val="28"/>
        </w:rPr>
        <w:t>с</w:t>
      </w:r>
      <w:r w:rsidRPr="0037051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ландшафтні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парки,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ботанічні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сади,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дендрологічні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зо</w:t>
      </w:r>
      <w:r w:rsidRPr="00370513">
        <w:rPr>
          <w:rFonts w:ascii="Times New Roman" w:hAnsi="Times New Roman" w:cs="Times New Roman"/>
          <w:sz w:val="28"/>
          <w:szCs w:val="28"/>
        </w:rPr>
        <w:t>о</w:t>
      </w:r>
      <w:r w:rsidRPr="00370513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парки, 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proofErr w:type="gram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заповідні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урочища та парки-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садово-паркового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;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училищ;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санаторії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фо</w:t>
      </w:r>
      <w:r w:rsidRPr="00370513">
        <w:rPr>
          <w:rFonts w:ascii="Times New Roman" w:hAnsi="Times New Roman" w:cs="Times New Roman"/>
          <w:sz w:val="28"/>
          <w:szCs w:val="28"/>
        </w:rPr>
        <w:t>р</w:t>
      </w:r>
      <w:r w:rsidRPr="00370513">
        <w:rPr>
          <w:rFonts w:ascii="Times New Roman" w:hAnsi="Times New Roman" w:cs="Times New Roman"/>
          <w:sz w:val="28"/>
          <w:szCs w:val="28"/>
        </w:rPr>
        <w:t>мування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прикордонна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рах</w:t>
      </w:r>
      <w:r w:rsidRPr="00370513">
        <w:rPr>
          <w:rFonts w:ascii="Times New Roman" w:hAnsi="Times New Roman" w:cs="Times New Roman"/>
          <w:sz w:val="28"/>
          <w:szCs w:val="28"/>
        </w:rPr>
        <w:t>у</w:t>
      </w:r>
      <w:r w:rsidRPr="00370513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51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;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санаторно-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курортні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ідпорядкованості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санаторно-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курортні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</w:t>
      </w:r>
      <w:r w:rsidRPr="00370513">
        <w:rPr>
          <w:rFonts w:ascii="Times New Roman" w:hAnsi="Times New Roman" w:cs="Times New Roman"/>
          <w:sz w:val="28"/>
          <w:szCs w:val="28"/>
        </w:rPr>
        <w:t>р</w:t>
      </w:r>
      <w:r w:rsidRPr="00370513">
        <w:rPr>
          <w:rFonts w:ascii="Times New Roman" w:hAnsi="Times New Roman" w:cs="Times New Roman"/>
          <w:sz w:val="28"/>
          <w:szCs w:val="28"/>
        </w:rPr>
        <w:t>ганізацій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;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</w:t>
      </w:r>
      <w:r w:rsidRPr="00370513">
        <w:rPr>
          <w:rFonts w:ascii="Times New Roman" w:hAnsi="Times New Roman" w:cs="Times New Roman"/>
          <w:sz w:val="28"/>
          <w:szCs w:val="28"/>
        </w:rPr>
        <w:t>т</w:t>
      </w:r>
      <w:r w:rsidRPr="00370513">
        <w:rPr>
          <w:rFonts w:ascii="Times New Roman" w:hAnsi="Times New Roman" w:cs="Times New Roman"/>
          <w:sz w:val="28"/>
          <w:szCs w:val="28"/>
        </w:rPr>
        <w:t>римуються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>;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фізкульту</w:t>
      </w:r>
      <w:r w:rsidRPr="00370513">
        <w:rPr>
          <w:rFonts w:ascii="Times New Roman" w:hAnsi="Times New Roman" w:cs="Times New Roman"/>
          <w:sz w:val="28"/>
          <w:szCs w:val="28"/>
        </w:rPr>
        <w:t>р</w:t>
      </w:r>
      <w:r w:rsidRPr="00370513">
        <w:rPr>
          <w:rFonts w:ascii="Times New Roman" w:hAnsi="Times New Roman" w:cs="Times New Roman"/>
          <w:sz w:val="28"/>
          <w:szCs w:val="28"/>
        </w:rPr>
        <w:t>но-спортивної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аероклуби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авіаційно-спортивні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клуби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обороні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- за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всеукр</w:t>
      </w:r>
      <w:r w:rsidRPr="00370513">
        <w:rPr>
          <w:rFonts w:ascii="Times New Roman" w:hAnsi="Times New Roman" w:cs="Times New Roman"/>
          <w:sz w:val="28"/>
          <w:szCs w:val="28"/>
        </w:rPr>
        <w:t>а</w:t>
      </w:r>
      <w:r w:rsidRPr="00370513">
        <w:rPr>
          <w:rFonts w:ascii="Times New Roman" w:hAnsi="Times New Roman" w:cs="Times New Roman"/>
          <w:sz w:val="28"/>
          <w:szCs w:val="28"/>
        </w:rPr>
        <w:t>їнських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навчально-тренувального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спорту та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513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 xml:space="preserve"> резерву;</w:t>
      </w:r>
    </w:p>
    <w:p w:rsidR="00370513" w:rsidRPr="00370513" w:rsidRDefault="00370513" w:rsidP="003705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0513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70513"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051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370513">
        <w:rPr>
          <w:rFonts w:ascii="Times New Roman" w:hAnsi="Times New Roman" w:cs="Times New Roman"/>
          <w:sz w:val="28"/>
          <w:szCs w:val="28"/>
        </w:rPr>
        <w:t xml:space="preserve"> законом порядку.  </w:t>
      </w:r>
    </w:p>
    <w:p w:rsidR="00370513" w:rsidRPr="00370513" w:rsidRDefault="00370513" w:rsidP="00370513">
      <w:pPr>
        <w:pStyle w:val="a4"/>
        <w:ind w:firstLine="90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Зміна середньої (базової вартості) одного квадратного метра земел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ної ділянки, яка визначена рішенням двадцять сьомої сесії шостого склика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ня від 26 червня 2013 року </w:t>
      </w:r>
      <w:proofErr w:type="spellStart"/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„Про</w:t>
      </w:r>
      <w:proofErr w:type="spellEnd"/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затвердження технічної документації з но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мативної грошової оцінки м. Пирятин“ обумовлює необхідність встановле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ня розміру ставок орендної плати за земельні ділянки несільськогосподарс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кого призначення за їх цільовим та функціональним використанням у відсо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Pr="003705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ковому відношенні до нормативної грошової оцінки земель м. Пирятин </w:t>
      </w:r>
    </w:p>
    <w:p w:rsidR="00370513" w:rsidRPr="00370513" w:rsidRDefault="00370513" w:rsidP="003705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776"/>
        <w:gridCol w:w="1617"/>
      </w:tblGrid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370513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 xml:space="preserve">Відсоткова ставка 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Землі житлової забудови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Земельні ділянки для будівництва та обслуговування жилого будинку, господарських будівель та споруд ( у разі використання права безоплатної приватизації)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Земельні ділянки для гаражного будівництва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Землі промисловості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Землі енергетики, транспорту, зв’язку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Землі комерційного використання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Роздрібна торгівля нафтопродуктами, скрапленим та стисненим газом (АЗС, ГНКС)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5%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Роздрібна торгівля в кіосках та павільйонах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5%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Торгівля в магазинах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Оптова торгівля (оптові бази)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Автотехобслуговування (СТО, мийки)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Пункти прийому лома, чорних та кольорових металів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5%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Банки, ломбарди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7%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Аптеки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Рекламні агентства, нотаріальні контори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5%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Інша комерційна діяльність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7051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Землі громадського призначення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5</w:t>
            </w:r>
            <w:r w:rsidRPr="00370513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Лікувальні заклади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5</w:t>
            </w:r>
            <w:r w:rsidRPr="00370513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Заклади громадського харчування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5</w:t>
            </w:r>
            <w:r w:rsidRPr="00370513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Іншого громадського призначення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7051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Землі технічної інфраструктури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6</w:t>
            </w:r>
            <w:r w:rsidRPr="00370513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Електрозабезпечення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6</w:t>
            </w:r>
            <w:r w:rsidRPr="00370513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6</w:t>
            </w:r>
            <w:r w:rsidRPr="00370513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Газопостачання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7051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Інші землі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7</w:t>
            </w:r>
            <w:r w:rsidRPr="00370513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Землі рекреаційного призначення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6%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7</w:t>
            </w:r>
            <w:r w:rsidRPr="00370513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Рілля, багаторічні насадження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en-US"/>
              </w:rPr>
              <w:t>7</w:t>
            </w:r>
            <w:r w:rsidRPr="00370513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Інші відкриті, незабудовані землі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3%</w:t>
            </w:r>
          </w:p>
        </w:tc>
      </w:tr>
      <w:tr w:rsidR="00370513" w:rsidRPr="00370513" w:rsidTr="00651D8E">
        <w:trPr>
          <w:trHeight w:val="32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7.4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Іншого сільськогосподарського призначення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0513">
              <w:rPr>
                <w:b/>
                <w:sz w:val="28"/>
                <w:szCs w:val="28"/>
                <w:lang w:val="uk-UA"/>
              </w:rPr>
              <w:t>4%</w:t>
            </w:r>
          </w:p>
        </w:tc>
      </w:tr>
    </w:tbl>
    <w:p w:rsidR="00370513" w:rsidRPr="00370513" w:rsidRDefault="00370513" w:rsidP="00370513">
      <w:pPr>
        <w:jc w:val="both"/>
        <w:rPr>
          <w:sz w:val="28"/>
          <w:szCs w:val="28"/>
          <w:lang w:val="uk-UA"/>
        </w:rPr>
      </w:pP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Наводячи вищезазначене, виникає негайна потреба розробити та з</w:t>
      </w:r>
      <w:r w:rsidRPr="00370513">
        <w:rPr>
          <w:sz w:val="28"/>
          <w:szCs w:val="28"/>
          <w:lang w:val="uk-UA"/>
        </w:rPr>
        <w:t>а</w:t>
      </w:r>
      <w:r w:rsidRPr="00370513">
        <w:rPr>
          <w:sz w:val="28"/>
          <w:szCs w:val="28"/>
          <w:lang w:val="uk-UA"/>
        </w:rPr>
        <w:t>твердити новий нормативно-правовий акт, який би дозволив встановити п</w:t>
      </w:r>
      <w:r w:rsidRPr="00370513">
        <w:rPr>
          <w:sz w:val="28"/>
          <w:szCs w:val="28"/>
          <w:lang w:val="uk-UA"/>
        </w:rPr>
        <w:t>о</w:t>
      </w:r>
      <w:r w:rsidRPr="00370513">
        <w:rPr>
          <w:sz w:val="28"/>
          <w:szCs w:val="28"/>
          <w:lang w:val="uk-UA"/>
        </w:rPr>
        <w:t>рядок нарахування земельного податку та орендної плати за землю, збільш</w:t>
      </w:r>
      <w:r w:rsidRPr="00370513">
        <w:rPr>
          <w:sz w:val="28"/>
          <w:szCs w:val="28"/>
          <w:lang w:val="uk-UA"/>
        </w:rPr>
        <w:t>и</w:t>
      </w:r>
      <w:r w:rsidRPr="00370513">
        <w:rPr>
          <w:sz w:val="28"/>
          <w:szCs w:val="28"/>
          <w:lang w:val="uk-UA"/>
        </w:rPr>
        <w:t xml:space="preserve">ти надходження коштів до міського бюджету та встановити </w:t>
      </w:r>
      <w:r w:rsidRPr="00370513">
        <w:rPr>
          <w:snapToGrid w:val="0"/>
          <w:sz w:val="28"/>
          <w:szCs w:val="28"/>
          <w:lang w:val="uk-UA"/>
        </w:rPr>
        <w:t>спрощену проц</w:t>
      </w:r>
      <w:r w:rsidRPr="00370513">
        <w:rPr>
          <w:snapToGrid w:val="0"/>
          <w:sz w:val="28"/>
          <w:szCs w:val="28"/>
          <w:lang w:val="uk-UA"/>
        </w:rPr>
        <w:t>е</w:t>
      </w:r>
      <w:r w:rsidRPr="00370513">
        <w:rPr>
          <w:snapToGrid w:val="0"/>
          <w:sz w:val="28"/>
          <w:szCs w:val="28"/>
          <w:lang w:val="uk-UA"/>
        </w:rPr>
        <w:t>дуру нарахування земельного податку громадянам</w:t>
      </w:r>
      <w:r w:rsidRPr="00370513">
        <w:rPr>
          <w:sz w:val="28"/>
          <w:szCs w:val="28"/>
          <w:lang w:val="uk-UA"/>
        </w:rPr>
        <w:t>.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</w:p>
    <w:p w:rsidR="00370513" w:rsidRPr="00370513" w:rsidRDefault="00370513" w:rsidP="00370513">
      <w:pPr>
        <w:ind w:firstLine="851"/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 xml:space="preserve">                  2. Цілі регулювання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Проект рішення спрямований на: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встановлення та перегляд ставок земельного податку та орендної пл</w:t>
      </w:r>
      <w:r w:rsidRPr="00370513">
        <w:rPr>
          <w:sz w:val="28"/>
          <w:szCs w:val="28"/>
          <w:lang w:val="uk-UA"/>
        </w:rPr>
        <w:t>а</w:t>
      </w:r>
      <w:r w:rsidRPr="00370513">
        <w:rPr>
          <w:sz w:val="28"/>
          <w:szCs w:val="28"/>
          <w:lang w:val="uk-UA"/>
        </w:rPr>
        <w:t>ти за земельні ділянки в місті Пирятині;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спрощення процедури нарахування земельного податку громадянам;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збільшення надходження коштів від орендної плати за землю до міс</w:t>
      </w:r>
      <w:r w:rsidRPr="00370513">
        <w:rPr>
          <w:sz w:val="28"/>
          <w:szCs w:val="28"/>
          <w:lang w:val="uk-UA"/>
        </w:rPr>
        <w:t>ь</w:t>
      </w:r>
      <w:r w:rsidRPr="00370513">
        <w:rPr>
          <w:sz w:val="28"/>
          <w:szCs w:val="28"/>
          <w:lang w:val="uk-UA"/>
        </w:rPr>
        <w:t>кого бюджету;</w:t>
      </w:r>
    </w:p>
    <w:p w:rsidR="00370513" w:rsidRPr="00370513" w:rsidRDefault="00370513" w:rsidP="0037051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51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Альтернативні</w:t>
      </w:r>
      <w:proofErr w:type="spellEnd"/>
      <w:r w:rsidRPr="00370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370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370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цілей</w:t>
      </w:r>
      <w:proofErr w:type="spellEnd"/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 xml:space="preserve">Перша альтернатива – збереження існуючого стану. 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Дана альтернатива є неприпустимою у зв’язку з тим, що цілей прав</w:t>
      </w:r>
      <w:r w:rsidRPr="00370513">
        <w:rPr>
          <w:sz w:val="28"/>
          <w:szCs w:val="28"/>
          <w:lang w:val="uk-UA"/>
        </w:rPr>
        <w:t>о</w:t>
      </w:r>
      <w:r w:rsidRPr="00370513">
        <w:rPr>
          <w:sz w:val="28"/>
          <w:szCs w:val="28"/>
          <w:lang w:val="uk-UA"/>
        </w:rPr>
        <w:t>вого регулювання не буде досягнуто.</w:t>
      </w:r>
    </w:p>
    <w:p w:rsidR="00370513" w:rsidRPr="00370513" w:rsidRDefault="00370513" w:rsidP="00370513">
      <w:pPr>
        <w:widowControl w:val="0"/>
        <w:ind w:firstLine="851"/>
        <w:jc w:val="both"/>
        <w:rPr>
          <w:snapToGrid w:val="0"/>
          <w:sz w:val="28"/>
          <w:szCs w:val="28"/>
          <w:lang w:val="uk-UA"/>
        </w:rPr>
      </w:pPr>
      <w:r w:rsidRPr="00370513">
        <w:rPr>
          <w:snapToGrid w:val="0"/>
          <w:sz w:val="28"/>
          <w:szCs w:val="28"/>
          <w:lang w:val="uk-UA"/>
        </w:rPr>
        <w:lastRenderedPageBreak/>
        <w:t>Друга альтернатива - прийняття розміру орендної плати на рівні 12 в</w:t>
      </w:r>
      <w:r w:rsidRPr="00370513">
        <w:rPr>
          <w:snapToGrid w:val="0"/>
          <w:sz w:val="28"/>
          <w:szCs w:val="28"/>
          <w:lang w:val="uk-UA"/>
        </w:rPr>
        <w:t>і</w:t>
      </w:r>
      <w:r w:rsidRPr="00370513">
        <w:rPr>
          <w:snapToGrid w:val="0"/>
          <w:sz w:val="28"/>
          <w:szCs w:val="28"/>
          <w:lang w:val="uk-UA"/>
        </w:rPr>
        <w:t xml:space="preserve">дсотків нормативної грошової оцінки. </w:t>
      </w:r>
    </w:p>
    <w:p w:rsidR="00370513" w:rsidRPr="00370513" w:rsidRDefault="00370513" w:rsidP="00370513">
      <w:pPr>
        <w:pStyle w:val="3"/>
        <w:ind w:firstLine="851"/>
        <w:jc w:val="both"/>
        <w:rPr>
          <w:sz w:val="28"/>
          <w:szCs w:val="28"/>
          <w:lang w:val="uk-UA"/>
        </w:rPr>
      </w:pPr>
      <w:proofErr w:type="spellStart"/>
      <w:r w:rsidRPr="00370513">
        <w:rPr>
          <w:sz w:val="28"/>
          <w:szCs w:val="28"/>
        </w:rPr>
        <w:t>Ця</w:t>
      </w:r>
      <w:proofErr w:type="spellEnd"/>
      <w:r w:rsidRPr="00370513">
        <w:rPr>
          <w:sz w:val="28"/>
          <w:szCs w:val="28"/>
        </w:rPr>
        <w:t xml:space="preserve"> альтернатива є </w:t>
      </w:r>
      <w:proofErr w:type="spellStart"/>
      <w:r w:rsidRPr="00370513">
        <w:rPr>
          <w:sz w:val="28"/>
          <w:szCs w:val="28"/>
        </w:rPr>
        <w:t>неприйнятною</w:t>
      </w:r>
      <w:proofErr w:type="spellEnd"/>
      <w:r w:rsidRPr="00370513">
        <w:rPr>
          <w:sz w:val="28"/>
          <w:szCs w:val="28"/>
        </w:rPr>
        <w:t xml:space="preserve"> </w:t>
      </w:r>
      <w:proofErr w:type="gramStart"/>
      <w:r w:rsidRPr="00370513">
        <w:rPr>
          <w:sz w:val="28"/>
          <w:szCs w:val="28"/>
        </w:rPr>
        <w:t>по</w:t>
      </w:r>
      <w:proofErr w:type="gramEnd"/>
      <w:r w:rsidRPr="00370513">
        <w:rPr>
          <w:sz w:val="28"/>
          <w:szCs w:val="28"/>
        </w:rPr>
        <w:t xml:space="preserve"> </w:t>
      </w:r>
      <w:proofErr w:type="spellStart"/>
      <w:proofErr w:type="gramStart"/>
      <w:r w:rsidRPr="00370513">
        <w:rPr>
          <w:sz w:val="28"/>
          <w:szCs w:val="28"/>
        </w:rPr>
        <w:t>причин</w:t>
      </w:r>
      <w:proofErr w:type="gramEnd"/>
      <w:r w:rsidRPr="00370513">
        <w:rPr>
          <w:sz w:val="28"/>
          <w:szCs w:val="28"/>
        </w:rPr>
        <w:t>і</w:t>
      </w:r>
      <w:proofErr w:type="spellEnd"/>
      <w:r w:rsidRPr="00370513">
        <w:rPr>
          <w:sz w:val="28"/>
          <w:szCs w:val="28"/>
        </w:rPr>
        <w:t xml:space="preserve"> того, </w:t>
      </w:r>
      <w:proofErr w:type="spellStart"/>
      <w:r w:rsidRPr="00370513">
        <w:rPr>
          <w:sz w:val="28"/>
          <w:szCs w:val="28"/>
        </w:rPr>
        <w:t>що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значна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частина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землекористувачів</w:t>
      </w:r>
      <w:proofErr w:type="spellEnd"/>
      <w:r w:rsidRPr="00370513">
        <w:rPr>
          <w:sz w:val="28"/>
          <w:szCs w:val="28"/>
        </w:rPr>
        <w:t xml:space="preserve"> (</w:t>
      </w:r>
      <w:proofErr w:type="spellStart"/>
      <w:r w:rsidRPr="00370513">
        <w:rPr>
          <w:sz w:val="28"/>
          <w:szCs w:val="28"/>
        </w:rPr>
        <w:t>орендарів</w:t>
      </w:r>
      <w:proofErr w:type="spellEnd"/>
      <w:r w:rsidRPr="00370513">
        <w:rPr>
          <w:sz w:val="28"/>
          <w:szCs w:val="28"/>
        </w:rPr>
        <w:t xml:space="preserve">) не </w:t>
      </w:r>
      <w:proofErr w:type="spellStart"/>
      <w:r w:rsidRPr="00370513">
        <w:rPr>
          <w:sz w:val="28"/>
          <w:szCs w:val="28"/>
        </w:rPr>
        <w:t>зможе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сплачувати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земельний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податок</w:t>
      </w:r>
      <w:proofErr w:type="spellEnd"/>
      <w:r w:rsidRPr="00370513">
        <w:rPr>
          <w:sz w:val="28"/>
          <w:szCs w:val="28"/>
        </w:rPr>
        <w:t xml:space="preserve"> (</w:t>
      </w:r>
      <w:proofErr w:type="spellStart"/>
      <w:r w:rsidRPr="00370513">
        <w:rPr>
          <w:sz w:val="28"/>
          <w:szCs w:val="28"/>
        </w:rPr>
        <w:t>орендну</w:t>
      </w:r>
      <w:proofErr w:type="spellEnd"/>
      <w:r w:rsidRPr="00370513">
        <w:rPr>
          <w:sz w:val="28"/>
          <w:szCs w:val="28"/>
        </w:rPr>
        <w:t xml:space="preserve"> плату).</w:t>
      </w:r>
    </w:p>
    <w:p w:rsidR="00370513" w:rsidRPr="00370513" w:rsidRDefault="00370513" w:rsidP="00370513">
      <w:pPr>
        <w:pStyle w:val="a6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513" w:rsidRPr="00370513" w:rsidRDefault="00370513" w:rsidP="00370513">
      <w:pPr>
        <w:pStyle w:val="a6"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1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Механізм</w:t>
      </w:r>
      <w:proofErr w:type="spellEnd"/>
      <w:r w:rsidRPr="00370513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370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513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Для розв’язання проблеми, зазначеної в розділі 1 цього Аналізу пр</w:t>
      </w:r>
      <w:r w:rsidRPr="00370513">
        <w:rPr>
          <w:sz w:val="28"/>
          <w:szCs w:val="28"/>
          <w:lang w:val="uk-UA"/>
        </w:rPr>
        <w:t>о</w:t>
      </w:r>
      <w:r w:rsidRPr="00370513">
        <w:rPr>
          <w:sz w:val="28"/>
          <w:szCs w:val="28"/>
          <w:lang w:val="uk-UA"/>
        </w:rPr>
        <w:t>понується прийняти міською радою рішення міської ради "Про плату за зе</w:t>
      </w:r>
      <w:r w:rsidRPr="00370513">
        <w:rPr>
          <w:sz w:val="28"/>
          <w:szCs w:val="28"/>
          <w:lang w:val="uk-UA"/>
        </w:rPr>
        <w:t>м</w:t>
      </w:r>
      <w:r w:rsidRPr="00370513">
        <w:rPr>
          <w:sz w:val="28"/>
          <w:szCs w:val="28"/>
          <w:lang w:val="uk-UA"/>
        </w:rPr>
        <w:t>лю на 2016 рік”.</w:t>
      </w: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5. Обґрунтування можливостей досягнення визначених цілей у разі пр</w:t>
      </w:r>
      <w:r w:rsidRPr="00370513">
        <w:rPr>
          <w:b/>
          <w:sz w:val="28"/>
          <w:szCs w:val="28"/>
          <w:lang w:val="uk-UA"/>
        </w:rPr>
        <w:t>и</w:t>
      </w:r>
      <w:r w:rsidRPr="00370513">
        <w:rPr>
          <w:b/>
          <w:sz w:val="28"/>
          <w:szCs w:val="28"/>
          <w:lang w:val="uk-UA"/>
        </w:rPr>
        <w:t>йняття регуляторного акта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 xml:space="preserve">Прийняття рішення міської ради </w:t>
      </w:r>
      <w:proofErr w:type="spellStart"/>
      <w:r w:rsidRPr="00370513">
        <w:rPr>
          <w:sz w:val="28"/>
          <w:szCs w:val="28"/>
          <w:lang w:val="uk-UA"/>
        </w:rPr>
        <w:t>„Про</w:t>
      </w:r>
      <w:proofErr w:type="spellEnd"/>
      <w:r w:rsidRPr="00370513">
        <w:rPr>
          <w:sz w:val="28"/>
          <w:szCs w:val="28"/>
          <w:lang w:val="uk-UA"/>
        </w:rPr>
        <w:t xml:space="preserve"> плату за землю“ яким передб</w:t>
      </w:r>
      <w:r w:rsidRPr="00370513">
        <w:rPr>
          <w:sz w:val="28"/>
          <w:szCs w:val="28"/>
          <w:lang w:val="uk-UA"/>
        </w:rPr>
        <w:t>а</w:t>
      </w:r>
      <w:r w:rsidRPr="00370513">
        <w:rPr>
          <w:sz w:val="28"/>
          <w:szCs w:val="28"/>
          <w:lang w:val="uk-UA"/>
        </w:rPr>
        <w:t>чається затвердження ставок  земельного податку та встановлення розміру орендної плати за землю  у межах міста Пирятина забезпечить за рахунок збільшення розміру орендної плати, зростання надходжень до міського б</w:t>
      </w:r>
      <w:r w:rsidRPr="00370513">
        <w:rPr>
          <w:sz w:val="28"/>
          <w:szCs w:val="28"/>
          <w:lang w:val="uk-UA"/>
        </w:rPr>
        <w:t>ю</w:t>
      </w:r>
      <w:r w:rsidRPr="00370513">
        <w:rPr>
          <w:sz w:val="28"/>
          <w:szCs w:val="28"/>
          <w:lang w:val="uk-UA"/>
        </w:rPr>
        <w:t xml:space="preserve">джету.  </w:t>
      </w:r>
    </w:p>
    <w:p w:rsidR="00370513" w:rsidRPr="00370513" w:rsidRDefault="00370513" w:rsidP="00370513">
      <w:pPr>
        <w:ind w:firstLine="851"/>
        <w:jc w:val="both"/>
        <w:rPr>
          <w:b/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Запровадження запропонованого акта забезпечить високу вірогідність досягнення поставлених цілей, визначених Програмою економічного та соц</w:t>
      </w:r>
      <w:r w:rsidRPr="00370513">
        <w:rPr>
          <w:sz w:val="28"/>
          <w:szCs w:val="28"/>
          <w:lang w:val="uk-UA"/>
        </w:rPr>
        <w:t>і</w:t>
      </w:r>
      <w:r w:rsidRPr="00370513">
        <w:rPr>
          <w:sz w:val="28"/>
          <w:szCs w:val="28"/>
          <w:lang w:val="uk-UA"/>
        </w:rPr>
        <w:t xml:space="preserve">ального розвитку міста та населених пунктів Пирятинської міської ради. </w:t>
      </w: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6.</w:t>
      </w:r>
      <w:r w:rsidRPr="00370513">
        <w:rPr>
          <w:b/>
          <w:snapToGrid w:val="0"/>
          <w:sz w:val="28"/>
          <w:szCs w:val="28"/>
          <w:lang w:val="uk-UA"/>
        </w:rPr>
        <w:t xml:space="preserve"> Визначення очікуваних результатів прийняття регуляторного акта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Проект рішення передбачає: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- порядок оперативного і спрощеного нарахування земельного пода</w:t>
      </w:r>
      <w:r w:rsidRPr="00370513">
        <w:rPr>
          <w:sz w:val="28"/>
          <w:szCs w:val="28"/>
          <w:lang w:val="uk-UA"/>
        </w:rPr>
        <w:t>т</w:t>
      </w:r>
      <w:r w:rsidRPr="00370513">
        <w:rPr>
          <w:sz w:val="28"/>
          <w:szCs w:val="28"/>
          <w:lang w:val="uk-UA"/>
        </w:rPr>
        <w:t>ку та розміру орендної плати за землю громадянам;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- порядок затвердження ставок земельного податку та розмір орендної плати за земельні ділянки, які є у користуванні або власності.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</w:rPr>
      </w:pPr>
      <w:r w:rsidRPr="00370513">
        <w:rPr>
          <w:sz w:val="28"/>
          <w:szCs w:val="28"/>
        </w:rPr>
        <w:t xml:space="preserve">В </w:t>
      </w:r>
      <w:proofErr w:type="spellStart"/>
      <w:r w:rsidRPr="00370513">
        <w:rPr>
          <w:sz w:val="28"/>
          <w:szCs w:val="28"/>
        </w:rPr>
        <w:t>проекті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proofErr w:type="gramStart"/>
      <w:r w:rsidRPr="00370513">
        <w:rPr>
          <w:sz w:val="28"/>
          <w:szCs w:val="28"/>
        </w:rPr>
        <w:t>р</w:t>
      </w:r>
      <w:proofErr w:type="gramEnd"/>
      <w:r w:rsidRPr="00370513">
        <w:rPr>
          <w:sz w:val="28"/>
          <w:szCs w:val="28"/>
        </w:rPr>
        <w:t>ішення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більш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деталізуються</w:t>
      </w:r>
      <w:proofErr w:type="spellEnd"/>
      <w:r w:rsidRPr="00370513">
        <w:rPr>
          <w:sz w:val="28"/>
          <w:szCs w:val="28"/>
        </w:rPr>
        <w:t xml:space="preserve"> і </w:t>
      </w:r>
      <w:proofErr w:type="spellStart"/>
      <w:r w:rsidRPr="00370513">
        <w:rPr>
          <w:sz w:val="28"/>
          <w:szCs w:val="28"/>
        </w:rPr>
        <w:t>уточнюються</w:t>
      </w:r>
      <w:proofErr w:type="spellEnd"/>
      <w:r w:rsidRPr="00370513">
        <w:rPr>
          <w:sz w:val="28"/>
          <w:szCs w:val="28"/>
        </w:rPr>
        <w:t xml:space="preserve"> ставки земел</w:t>
      </w:r>
      <w:r w:rsidRPr="00370513">
        <w:rPr>
          <w:sz w:val="28"/>
          <w:szCs w:val="28"/>
        </w:rPr>
        <w:t>ь</w:t>
      </w:r>
      <w:r w:rsidRPr="00370513">
        <w:rPr>
          <w:sz w:val="28"/>
          <w:szCs w:val="28"/>
        </w:rPr>
        <w:t xml:space="preserve">ного </w:t>
      </w:r>
      <w:proofErr w:type="spellStart"/>
      <w:r w:rsidRPr="00370513">
        <w:rPr>
          <w:sz w:val="28"/>
          <w:szCs w:val="28"/>
        </w:rPr>
        <w:t>податку</w:t>
      </w:r>
      <w:proofErr w:type="spellEnd"/>
      <w:r w:rsidRPr="00370513">
        <w:rPr>
          <w:sz w:val="28"/>
          <w:szCs w:val="28"/>
        </w:rPr>
        <w:t xml:space="preserve"> за </w:t>
      </w:r>
      <w:proofErr w:type="spellStart"/>
      <w:r w:rsidRPr="00370513">
        <w:rPr>
          <w:sz w:val="28"/>
          <w:szCs w:val="28"/>
        </w:rPr>
        <w:t>земельні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ділянки</w:t>
      </w:r>
      <w:proofErr w:type="spellEnd"/>
      <w:r w:rsidRPr="00370513">
        <w:rPr>
          <w:sz w:val="28"/>
          <w:szCs w:val="28"/>
        </w:rPr>
        <w:t xml:space="preserve">, </w:t>
      </w:r>
      <w:proofErr w:type="spellStart"/>
      <w:r w:rsidRPr="00370513">
        <w:rPr>
          <w:sz w:val="28"/>
          <w:szCs w:val="28"/>
        </w:rPr>
        <w:t>які</w:t>
      </w:r>
      <w:proofErr w:type="spellEnd"/>
      <w:r w:rsidRPr="00370513">
        <w:rPr>
          <w:sz w:val="28"/>
          <w:szCs w:val="28"/>
        </w:rPr>
        <w:t xml:space="preserve"> є у </w:t>
      </w:r>
      <w:proofErr w:type="spellStart"/>
      <w:r w:rsidRPr="00370513">
        <w:rPr>
          <w:sz w:val="28"/>
          <w:szCs w:val="28"/>
        </w:rPr>
        <w:t>користуванні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або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власності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гром</w:t>
      </w:r>
      <w:r w:rsidRPr="00370513">
        <w:rPr>
          <w:sz w:val="28"/>
          <w:szCs w:val="28"/>
        </w:rPr>
        <w:t>а</w:t>
      </w:r>
      <w:r w:rsidRPr="00370513">
        <w:rPr>
          <w:sz w:val="28"/>
          <w:szCs w:val="28"/>
        </w:rPr>
        <w:t>дян</w:t>
      </w:r>
      <w:proofErr w:type="spellEnd"/>
      <w:r w:rsidRPr="00370513">
        <w:rPr>
          <w:sz w:val="28"/>
          <w:szCs w:val="28"/>
        </w:rPr>
        <w:t>.</w:t>
      </w:r>
    </w:p>
    <w:p w:rsidR="00370513" w:rsidRPr="00370513" w:rsidRDefault="00370513" w:rsidP="00370513">
      <w:pPr>
        <w:jc w:val="both"/>
        <w:rPr>
          <w:sz w:val="28"/>
          <w:szCs w:val="28"/>
          <w:u w:val="single"/>
          <w:lang w:val="uk-UA"/>
        </w:rPr>
      </w:pPr>
    </w:p>
    <w:p w:rsidR="00370513" w:rsidRPr="00370513" w:rsidRDefault="00370513" w:rsidP="00370513">
      <w:pPr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Аналіз вигод та витрат</w:t>
      </w:r>
    </w:p>
    <w:tbl>
      <w:tblPr>
        <w:tblStyle w:val="a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08"/>
        <w:gridCol w:w="4860"/>
        <w:gridCol w:w="1800"/>
      </w:tblGrid>
      <w:tr w:rsidR="00370513" w:rsidRPr="00370513" w:rsidTr="00651D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Сфера впливу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витрати</w:t>
            </w:r>
          </w:p>
        </w:tc>
      </w:tr>
      <w:tr w:rsidR="00370513" w:rsidRPr="00370513" w:rsidTr="00651D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Органи влади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ind w:left="72" w:right="72"/>
              <w:jc w:val="both"/>
              <w:rPr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 xml:space="preserve">Збільшення надходжень від орендної плати до міського бюджету за </w:t>
            </w:r>
            <w:r w:rsidRPr="00370513">
              <w:rPr>
                <w:sz w:val="28"/>
                <w:szCs w:val="28"/>
                <w:lang w:val="uk-UA"/>
              </w:rPr>
              <w:t>землі</w:t>
            </w:r>
          </w:p>
          <w:p w:rsidR="00370513" w:rsidRPr="00370513" w:rsidRDefault="00370513" w:rsidP="00370513">
            <w:pPr>
              <w:pStyle w:val="a4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513" w:rsidRPr="00370513" w:rsidRDefault="00370513" w:rsidP="00370513">
            <w:pPr>
              <w:widowControl w:val="0"/>
              <w:ind w:firstLine="612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Не передб</w:t>
            </w:r>
            <w:r w:rsidRPr="00370513">
              <w:rPr>
                <w:snapToGrid w:val="0"/>
                <w:sz w:val="28"/>
                <w:szCs w:val="28"/>
                <w:lang w:val="uk-UA"/>
              </w:rPr>
              <w:t>а</w:t>
            </w:r>
            <w:r w:rsidRPr="00370513">
              <w:rPr>
                <w:snapToGrid w:val="0"/>
                <w:sz w:val="28"/>
                <w:szCs w:val="28"/>
                <w:lang w:val="uk-UA"/>
              </w:rPr>
              <w:t>чено дода</w:t>
            </w:r>
            <w:r w:rsidRPr="00370513">
              <w:rPr>
                <w:snapToGrid w:val="0"/>
                <w:sz w:val="28"/>
                <w:szCs w:val="28"/>
                <w:lang w:val="uk-UA"/>
              </w:rPr>
              <w:t>т</w:t>
            </w:r>
            <w:r w:rsidRPr="00370513">
              <w:rPr>
                <w:snapToGrid w:val="0"/>
                <w:sz w:val="28"/>
                <w:szCs w:val="28"/>
                <w:lang w:val="uk-UA"/>
              </w:rPr>
              <w:t>кових витрат</w:t>
            </w:r>
          </w:p>
        </w:tc>
      </w:tr>
      <w:tr w:rsidR="00370513" w:rsidRPr="00370513" w:rsidTr="00651D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Суб’єкти господар</w:t>
            </w:r>
            <w:r w:rsidRPr="00370513">
              <w:rPr>
                <w:snapToGrid w:val="0"/>
                <w:sz w:val="28"/>
                <w:szCs w:val="28"/>
                <w:lang w:val="uk-UA"/>
              </w:rPr>
              <w:t>ю</w:t>
            </w:r>
            <w:r w:rsidRPr="00370513">
              <w:rPr>
                <w:snapToGrid w:val="0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ind w:firstLine="72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z w:val="28"/>
                <w:szCs w:val="28"/>
                <w:lang w:val="uk-UA"/>
              </w:rPr>
              <w:t>Встановлення порядку оперативного і спрощеного нарахування земельного податку та розміру орендної плати за землю громадянам.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ind w:right="-108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Збільшення платежів за користування землею</w:t>
            </w:r>
          </w:p>
        </w:tc>
      </w:tr>
      <w:tr w:rsidR="00370513" w:rsidRPr="00370513" w:rsidTr="00651D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Покращення благоустрою міста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3" w:rsidRPr="00370513" w:rsidRDefault="00370513" w:rsidP="00370513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370513">
              <w:rPr>
                <w:snapToGrid w:val="0"/>
                <w:sz w:val="28"/>
                <w:szCs w:val="28"/>
                <w:lang w:val="uk-UA"/>
              </w:rPr>
              <w:t>-</w:t>
            </w:r>
          </w:p>
        </w:tc>
      </w:tr>
    </w:tbl>
    <w:p w:rsidR="00370513" w:rsidRPr="00370513" w:rsidRDefault="00370513" w:rsidP="00370513">
      <w:pPr>
        <w:jc w:val="both"/>
        <w:rPr>
          <w:sz w:val="28"/>
          <w:szCs w:val="28"/>
          <w:u w:val="single"/>
          <w:lang w:val="uk-UA"/>
        </w:rPr>
      </w:pPr>
    </w:p>
    <w:p w:rsidR="00370513" w:rsidRPr="00370513" w:rsidRDefault="00370513" w:rsidP="00370513">
      <w:pPr>
        <w:jc w:val="both"/>
        <w:rPr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7.  Строк дії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Строк дії зазначеного регуляторного акта не обмежений.</w:t>
      </w:r>
      <w:r w:rsidRPr="00370513">
        <w:rPr>
          <w:b/>
          <w:sz w:val="28"/>
          <w:szCs w:val="28"/>
          <w:u w:val="single"/>
          <w:lang w:val="uk-UA"/>
        </w:rPr>
        <w:t xml:space="preserve"> </w:t>
      </w: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8. Показники результативності регуляторного акта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>В результаті впровадження регуляторного акта буде досліджуватись та вивчатися:</w:t>
      </w:r>
    </w:p>
    <w:p w:rsidR="00370513" w:rsidRPr="00370513" w:rsidRDefault="00370513" w:rsidP="00370513">
      <w:pPr>
        <w:ind w:left="768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 xml:space="preserve">  збільшення надходження коштів до міського бюджету;</w:t>
      </w:r>
    </w:p>
    <w:p w:rsidR="00370513" w:rsidRPr="00370513" w:rsidRDefault="00370513" w:rsidP="00370513">
      <w:pPr>
        <w:ind w:firstLine="851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 xml:space="preserve"> рівень поінформованості громадян з основних положень регулято</w:t>
      </w:r>
      <w:r w:rsidRPr="00370513">
        <w:rPr>
          <w:sz w:val="28"/>
          <w:szCs w:val="28"/>
          <w:lang w:val="uk-UA"/>
        </w:rPr>
        <w:t>р</w:t>
      </w:r>
      <w:r w:rsidRPr="00370513">
        <w:rPr>
          <w:sz w:val="28"/>
          <w:szCs w:val="28"/>
          <w:lang w:val="uk-UA"/>
        </w:rPr>
        <w:t>ного акта;</w:t>
      </w:r>
    </w:p>
    <w:p w:rsidR="00370513" w:rsidRPr="00370513" w:rsidRDefault="00370513" w:rsidP="00370513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370513">
        <w:rPr>
          <w:sz w:val="28"/>
          <w:szCs w:val="28"/>
        </w:rPr>
        <w:t xml:space="preserve"> кількість громадян, на які поширюється даний проект рішення.</w:t>
      </w:r>
    </w:p>
    <w:p w:rsidR="00370513" w:rsidRPr="00370513" w:rsidRDefault="00370513" w:rsidP="00370513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370513" w:rsidRPr="00370513" w:rsidRDefault="00370513" w:rsidP="00370513">
      <w:pPr>
        <w:jc w:val="both"/>
        <w:rPr>
          <w:b/>
          <w:sz w:val="28"/>
          <w:szCs w:val="28"/>
          <w:lang w:val="uk-UA"/>
        </w:rPr>
      </w:pPr>
      <w:r w:rsidRPr="00370513">
        <w:rPr>
          <w:b/>
          <w:sz w:val="28"/>
          <w:szCs w:val="28"/>
          <w:lang w:val="uk-UA"/>
        </w:rPr>
        <w:t>9. Заходи з відстеження результативності регуляторного акту</w:t>
      </w:r>
    </w:p>
    <w:p w:rsidR="00370513" w:rsidRPr="00370513" w:rsidRDefault="00370513" w:rsidP="00370513">
      <w:pPr>
        <w:ind w:firstLine="708"/>
        <w:jc w:val="both"/>
        <w:rPr>
          <w:sz w:val="28"/>
          <w:szCs w:val="28"/>
        </w:rPr>
      </w:pPr>
      <w:proofErr w:type="spellStart"/>
      <w:r w:rsidRPr="00370513">
        <w:rPr>
          <w:sz w:val="28"/>
          <w:szCs w:val="28"/>
        </w:rPr>
        <w:t>Відстеження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результативності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вказаного</w:t>
      </w:r>
      <w:proofErr w:type="spellEnd"/>
      <w:r w:rsidRPr="00370513">
        <w:rPr>
          <w:sz w:val="28"/>
          <w:szCs w:val="28"/>
        </w:rPr>
        <w:t xml:space="preserve"> регуляторного акту буде </w:t>
      </w:r>
      <w:proofErr w:type="spellStart"/>
      <w:r w:rsidRPr="00370513">
        <w:rPr>
          <w:sz w:val="28"/>
          <w:szCs w:val="28"/>
        </w:rPr>
        <w:t>здійснюватися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згідно</w:t>
      </w:r>
      <w:proofErr w:type="spellEnd"/>
      <w:r w:rsidRPr="00370513">
        <w:rPr>
          <w:sz w:val="28"/>
          <w:szCs w:val="28"/>
        </w:rPr>
        <w:t xml:space="preserve"> з методикою, </w:t>
      </w:r>
      <w:proofErr w:type="spellStart"/>
      <w:r w:rsidRPr="00370513">
        <w:rPr>
          <w:sz w:val="28"/>
          <w:szCs w:val="28"/>
        </w:rPr>
        <w:t>затвердженою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Постановою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Кабінету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Міністрів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від</w:t>
      </w:r>
      <w:proofErr w:type="spellEnd"/>
      <w:r w:rsidRPr="00370513">
        <w:rPr>
          <w:sz w:val="28"/>
          <w:szCs w:val="28"/>
        </w:rPr>
        <w:t xml:space="preserve"> 11.03.2004 №308</w:t>
      </w:r>
      <w:proofErr w:type="gramStart"/>
      <w:r w:rsidRPr="00370513">
        <w:rPr>
          <w:sz w:val="28"/>
          <w:szCs w:val="28"/>
        </w:rPr>
        <w:t xml:space="preserve"> „П</w:t>
      </w:r>
      <w:proofErr w:type="gramEnd"/>
      <w:r w:rsidRPr="00370513">
        <w:rPr>
          <w:sz w:val="28"/>
          <w:szCs w:val="28"/>
        </w:rPr>
        <w:t xml:space="preserve">ро </w:t>
      </w:r>
      <w:proofErr w:type="spellStart"/>
      <w:r w:rsidRPr="00370513">
        <w:rPr>
          <w:sz w:val="28"/>
          <w:szCs w:val="28"/>
        </w:rPr>
        <w:t>затвердження</w:t>
      </w:r>
      <w:proofErr w:type="spellEnd"/>
      <w:r w:rsidRPr="00370513">
        <w:rPr>
          <w:sz w:val="28"/>
          <w:szCs w:val="28"/>
        </w:rPr>
        <w:t xml:space="preserve"> методик </w:t>
      </w:r>
      <w:proofErr w:type="spellStart"/>
      <w:r w:rsidRPr="00370513">
        <w:rPr>
          <w:sz w:val="28"/>
          <w:szCs w:val="28"/>
        </w:rPr>
        <w:t>проведення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аналізу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впливу</w:t>
      </w:r>
      <w:proofErr w:type="spellEnd"/>
      <w:r w:rsidRPr="00370513">
        <w:rPr>
          <w:sz w:val="28"/>
          <w:szCs w:val="28"/>
        </w:rPr>
        <w:t xml:space="preserve"> та </w:t>
      </w:r>
      <w:proofErr w:type="spellStart"/>
      <w:r w:rsidRPr="00370513">
        <w:rPr>
          <w:sz w:val="28"/>
          <w:szCs w:val="28"/>
        </w:rPr>
        <w:t>відстеження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результативності</w:t>
      </w:r>
      <w:proofErr w:type="spellEnd"/>
      <w:r w:rsidRPr="00370513">
        <w:rPr>
          <w:sz w:val="28"/>
          <w:szCs w:val="28"/>
        </w:rPr>
        <w:t xml:space="preserve"> регуляторного акта“, у межах </w:t>
      </w:r>
      <w:proofErr w:type="spellStart"/>
      <w:r w:rsidRPr="00370513">
        <w:rPr>
          <w:sz w:val="28"/>
          <w:szCs w:val="28"/>
        </w:rPr>
        <w:t>строків</w:t>
      </w:r>
      <w:proofErr w:type="spellEnd"/>
      <w:r w:rsidRPr="00370513">
        <w:rPr>
          <w:sz w:val="28"/>
          <w:szCs w:val="28"/>
        </w:rPr>
        <w:t xml:space="preserve">, </w:t>
      </w:r>
      <w:proofErr w:type="spellStart"/>
      <w:r w:rsidRPr="00370513">
        <w:rPr>
          <w:sz w:val="28"/>
          <w:szCs w:val="28"/>
        </w:rPr>
        <w:t>встановлених</w:t>
      </w:r>
      <w:proofErr w:type="spellEnd"/>
      <w:r w:rsidRPr="00370513">
        <w:rPr>
          <w:sz w:val="28"/>
          <w:szCs w:val="28"/>
        </w:rPr>
        <w:t xml:space="preserve"> ст. 10 Закону </w:t>
      </w:r>
      <w:proofErr w:type="spellStart"/>
      <w:r w:rsidRPr="00370513">
        <w:rPr>
          <w:sz w:val="28"/>
          <w:szCs w:val="28"/>
        </w:rPr>
        <w:t>України</w:t>
      </w:r>
      <w:proofErr w:type="spellEnd"/>
      <w:r w:rsidRPr="00370513">
        <w:rPr>
          <w:sz w:val="28"/>
          <w:szCs w:val="28"/>
        </w:rPr>
        <w:t xml:space="preserve"> „Про засади </w:t>
      </w:r>
      <w:proofErr w:type="spellStart"/>
      <w:r w:rsidRPr="00370513">
        <w:rPr>
          <w:sz w:val="28"/>
          <w:szCs w:val="28"/>
        </w:rPr>
        <w:t>державної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регуляторної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політики</w:t>
      </w:r>
      <w:proofErr w:type="spellEnd"/>
      <w:r w:rsidRPr="00370513">
        <w:rPr>
          <w:sz w:val="28"/>
          <w:szCs w:val="28"/>
        </w:rPr>
        <w:t xml:space="preserve"> у </w:t>
      </w:r>
      <w:proofErr w:type="spellStart"/>
      <w:r w:rsidRPr="00370513">
        <w:rPr>
          <w:sz w:val="28"/>
          <w:szCs w:val="28"/>
        </w:rPr>
        <w:t>сфері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господарської</w:t>
      </w:r>
      <w:proofErr w:type="spellEnd"/>
      <w:r w:rsidRPr="00370513">
        <w:rPr>
          <w:sz w:val="28"/>
          <w:szCs w:val="28"/>
        </w:rPr>
        <w:t xml:space="preserve"> </w:t>
      </w:r>
      <w:proofErr w:type="spellStart"/>
      <w:r w:rsidRPr="00370513">
        <w:rPr>
          <w:sz w:val="28"/>
          <w:szCs w:val="28"/>
        </w:rPr>
        <w:t>діяльності</w:t>
      </w:r>
      <w:proofErr w:type="spellEnd"/>
      <w:r w:rsidRPr="00370513">
        <w:rPr>
          <w:sz w:val="28"/>
          <w:szCs w:val="28"/>
        </w:rPr>
        <w:t xml:space="preserve">“. </w:t>
      </w:r>
    </w:p>
    <w:p w:rsidR="00370513" w:rsidRPr="00370513" w:rsidRDefault="00370513" w:rsidP="00370513">
      <w:pPr>
        <w:widowControl w:val="0"/>
        <w:ind w:firstLine="851"/>
        <w:jc w:val="both"/>
        <w:rPr>
          <w:sz w:val="28"/>
          <w:szCs w:val="28"/>
          <w:lang w:val="uk-UA"/>
        </w:rPr>
      </w:pPr>
    </w:p>
    <w:p w:rsidR="00370513" w:rsidRPr="00370513" w:rsidRDefault="00370513" w:rsidP="00370513">
      <w:pPr>
        <w:widowControl w:val="0"/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70513" w:rsidRPr="00370513" w:rsidRDefault="00370513" w:rsidP="00370513">
      <w:pPr>
        <w:widowControl w:val="0"/>
        <w:ind w:firstLine="851"/>
        <w:jc w:val="both"/>
        <w:rPr>
          <w:sz w:val="28"/>
          <w:szCs w:val="28"/>
          <w:lang w:val="uk-UA"/>
        </w:rPr>
      </w:pPr>
    </w:p>
    <w:p w:rsidR="00370513" w:rsidRPr="00370513" w:rsidRDefault="00370513" w:rsidP="00370513">
      <w:pPr>
        <w:widowControl w:val="0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 xml:space="preserve">Начальник відділу з земельних та екологічних </w:t>
      </w:r>
    </w:p>
    <w:p w:rsidR="00370513" w:rsidRPr="00370513" w:rsidRDefault="00370513" w:rsidP="00370513">
      <w:pPr>
        <w:widowControl w:val="0"/>
        <w:jc w:val="both"/>
        <w:rPr>
          <w:sz w:val="28"/>
          <w:szCs w:val="28"/>
          <w:lang w:val="uk-UA"/>
        </w:rPr>
      </w:pPr>
      <w:r w:rsidRPr="00370513">
        <w:rPr>
          <w:sz w:val="28"/>
          <w:szCs w:val="28"/>
          <w:lang w:val="uk-UA"/>
        </w:rPr>
        <w:t xml:space="preserve">питань виконкому міської ради                                                     Є.В.Стадник </w:t>
      </w:r>
    </w:p>
    <w:p w:rsidR="00370513" w:rsidRPr="00370513" w:rsidRDefault="00370513" w:rsidP="00370513">
      <w:pPr>
        <w:jc w:val="both"/>
        <w:rPr>
          <w:sz w:val="28"/>
          <w:szCs w:val="28"/>
          <w:lang w:val="uk-UA"/>
        </w:rPr>
      </w:pPr>
    </w:p>
    <w:p w:rsidR="003643F9" w:rsidRPr="00370513" w:rsidRDefault="003643F9" w:rsidP="00370513">
      <w:pPr>
        <w:jc w:val="both"/>
        <w:rPr>
          <w:lang w:val="uk-UA"/>
        </w:rPr>
      </w:pPr>
    </w:p>
    <w:sectPr w:rsidR="003643F9" w:rsidRPr="00370513" w:rsidSect="003705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D48"/>
    <w:multiLevelType w:val="hybridMultilevel"/>
    <w:tmpl w:val="B158F678"/>
    <w:lvl w:ilvl="0" w:tplc="390AA0A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13"/>
    <w:rsid w:val="003643F9"/>
    <w:rsid w:val="00370513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370513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370513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37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5">
    <w:name w:val="Основний текст Знак"/>
    <w:basedOn w:val="a0"/>
    <w:link w:val="a6"/>
    <w:locked/>
    <w:rsid w:val="00370513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3705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ий текст Знак1"/>
    <w:basedOn w:val="a0"/>
    <w:uiPriority w:val="99"/>
    <w:semiHidden/>
    <w:rsid w:val="003705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37051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37051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370513"/>
    <w:pPr>
      <w:spacing w:after="120" w:line="480" w:lineRule="auto"/>
    </w:pPr>
    <w:rPr>
      <w:lang w:val="uk-UA"/>
    </w:rPr>
  </w:style>
  <w:style w:type="character" w:customStyle="1" w:styleId="20">
    <w:name w:val="Основний текст 2 Знак"/>
    <w:basedOn w:val="a0"/>
    <w:link w:val="2"/>
    <w:rsid w:val="003705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7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370513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370513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37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5">
    <w:name w:val="Основний текст Знак"/>
    <w:basedOn w:val="a0"/>
    <w:link w:val="a6"/>
    <w:locked/>
    <w:rsid w:val="00370513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3705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ий текст Знак1"/>
    <w:basedOn w:val="a0"/>
    <w:uiPriority w:val="99"/>
    <w:semiHidden/>
    <w:rsid w:val="003705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37051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37051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370513"/>
    <w:pPr>
      <w:spacing w:after="120" w:line="480" w:lineRule="auto"/>
    </w:pPr>
    <w:rPr>
      <w:lang w:val="uk-UA"/>
    </w:rPr>
  </w:style>
  <w:style w:type="character" w:customStyle="1" w:styleId="20">
    <w:name w:val="Основний текст 2 Знак"/>
    <w:basedOn w:val="a0"/>
    <w:link w:val="2"/>
    <w:rsid w:val="003705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7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6382</Words>
  <Characters>3639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2015-05-14T18:41:00Z</dcterms:created>
  <dcterms:modified xsi:type="dcterms:W3CDTF">2015-05-14T18:43:00Z</dcterms:modified>
</cp:coreProperties>
</file>