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4" w:rsidRDefault="00DF0634" w:rsidP="00DF0634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АНАЛІЗ РЕГУЛЯТОРНОГО ВПЛИВУ</w:t>
      </w:r>
    </w:p>
    <w:p w:rsidR="00DF0634" w:rsidRDefault="00DF0634" w:rsidP="00DF0634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проекту рішення Пирятинської міської ради </w:t>
      </w:r>
    </w:p>
    <w:p w:rsidR="00DF0634" w:rsidRDefault="00DF0634" w:rsidP="00DF0634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„Про норми утворення твердих побутових відходів для житлових будинків та підприємств невиробничої сфери міста Пирятина“.</w:t>
      </w:r>
    </w:p>
    <w:p w:rsidR="00DF0634" w:rsidRPr="00B134CC" w:rsidRDefault="00DF0634" w:rsidP="00DF0634">
      <w:pPr>
        <w:ind w:firstLine="737"/>
        <w:jc w:val="both"/>
        <w:rPr>
          <w:sz w:val="28"/>
          <w:szCs w:val="28"/>
        </w:rPr>
      </w:pPr>
      <w:r w:rsidRPr="00B134CC">
        <w:rPr>
          <w:sz w:val="28"/>
          <w:szCs w:val="28"/>
          <w:lang w:val="uk-UA"/>
        </w:rPr>
        <w:t xml:space="preserve">Пропозиції та зауваження щодо проекту рішення  приймаються розробником від фізичних  осіб,  фізичних осіб - суб’єктів підприємницької діяльності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 w:rsidRPr="00B134CC">
          <w:rPr>
            <w:sz w:val="28"/>
            <w:szCs w:val="28"/>
            <w:lang w:val="uk-UA"/>
          </w:rPr>
          <w:t>37000, м</w:t>
        </w:r>
      </w:smartTag>
      <w:r w:rsidRPr="00B134CC">
        <w:rPr>
          <w:sz w:val="28"/>
          <w:szCs w:val="28"/>
          <w:lang w:val="uk-UA"/>
        </w:rPr>
        <w:t>.Пирятин,</w:t>
      </w:r>
      <w:r>
        <w:rPr>
          <w:sz w:val="28"/>
          <w:szCs w:val="28"/>
          <w:lang w:val="uk-UA"/>
        </w:rPr>
        <w:t xml:space="preserve"> </w:t>
      </w:r>
      <w:r w:rsidRPr="00B134CC">
        <w:rPr>
          <w:sz w:val="28"/>
          <w:szCs w:val="28"/>
          <w:lang w:val="uk-UA"/>
        </w:rPr>
        <w:t xml:space="preserve">вул. Леніна, 21. </w:t>
      </w:r>
      <w:r w:rsidRPr="00B134CC">
        <w:rPr>
          <w:sz w:val="28"/>
          <w:szCs w:val="28"/>
        </w:rPr>
        <w:t xml:space="preserve">Пропозиції приймаються протягом  </w:t>
      </w:r>
      <w:r w:rsidRPr="00B134CC">
        <w:rPr>
          <w:sz w:val="28"/>
          <w:szCs w:val="28"/>
          <w:lang w:val="uk-UA"/>
        </w:rPr>
        <w:t xml:space="preserve">одного </w:t>
      </w:r>
      <w:r w:rsidRPr="00B134CC">
        <w:rPr>
          <w:sz w:val="28"/>
          <w:szCs w:val="28"/>
        </w:rPr>
        <w:t>місяця  з  дня  оп</w:t>
      </w:r>
      <w:r w:rsidRPr="00B134CC">
        <w:rPr>
          <w:sz w:val="28"/>
          <w:szCs w:val="28"/>
          <w:lang w:val="uk-UA"/>
        </w:rPr>
        <w:t>рилюднення</w:t>
      </w:r>
      <w:r w:rsidRPr="00B134CC">
        <w:rPr>
          <w:sz w:val="28"/>
          <w:szCs w:val="28"/>
        </w:rPr>
        <w:t xml:space="preserve">  проекту  регуляторного  акту.</w:t>
      </w:r>
    </w:p>
    <w:p w:rsidR="00DF0634" w:rsidRPr="00571ED5" w:rsidRDefault="00DF0634" w:rsidP="00DF0634">
      <w:pPr>
        <w:pStyle w:val="a3"/>
        <w:rPr>
          <w:b/>
          <w:color w:val="000000"/>
          <w:sz w:val="27"/>
          <w:szCs w:val="27"/>
        </w:rPr>
      </w:pPr>
    </w:p>
    <w:p w:rsidR="00DF0634" w:rsidRDefault="00DF0634" w:rsidP="00DF063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1.Визначення проблеми,яку передбачається розв</w:t>
      </w:r>
      <w:r>
        <w:rPr>
          <w:b/>
          <w:color w:val="000000"/>
          <w:sz w:val="27"/>
          <w:szCs w:val="27"/>
          <w:lang w:val="uk-UA"/>
        </w:rPr>
        <w:t>’</w:t>
      </w:r>
      <w:r>
        <w:rPr>
          <w:b/>
          <w:color w:val="000000"/>
          <w:sz w:val="27"/>
          <w:szCs w:val="27"/>
        </w:rPr>
        <w:t>язати шляхом регулювання.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Проблема, яку пропонується розв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язати шляхом державного регулювання господарських відносин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полягає в тому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що діючі норми утворення побутових відходів,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які були затверджені рішенням виконавчого комітету </w:t>
      </w:r>
      <w:r>
        <w:rPr>
          <w:color w:val="000000"/>
          <w:sz w:val="28"/>
          <w:szCs w:val="28"/>
          <w:lang w:val="uk-UA"/>
        </w:rPr>
        <w:t>Пирятин</w:t>
      </w:r>
      <w:r>
        <w:rPr>
          <w:color w:val="000000"/>
          <w:sz w:val="28"/>
          <w:szCs w:val="28"/>
        </w:rPr>
        <w:t xml:space="preserve">ської міської ради від </w:t>
      </w:r>
      <w:r>
        <w:rPr>
          <w:color w:val="000000"/>
          <w:sz w:val="28"/>
          <w:szCs w:val="28"/>
          <w:lang w:val="uk-UA"/>
        </w:rPr>
        <w:t>09 квіт</w:t>
      </w:r>
      <w:r>
        <w:rPr>
          <w:color w:val="000000"/>
          <w:sz w:val="28"/>
          <w:szCs w:val="28"/>
        </w:rPr>
        <w:t>ня 200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175 „</w:t>
      </w:r>
      <w:r>
        <w:rPr>
          <w:color w:val="000000"/>
          <w:sz w:val="28"/>
          <w:szCs w:val="28"/>
        </w:rPr>
        <w:t>Про затвердження норм утворення твердих побутових відходів для м.</w:t>
      </w:r>
      <w:r>
        <w:rPr>
          <w:color w:val="000000"/>
          <w:sz w:val="28"/>
          <w:szCs w:val="28"/>
          <w:lang w:val="uk-UA"/>
        </w:rPr>
        <w:t>Пирятин“</w:t>
      </w:r>
      <w:r>
        <w:rPr>
          <w:color w:val="000000"/>
          <w:sz w:val="28"/>
          <w:szCs w:val="28"/>
        </w:rPr>
        <w:t xml:space="preserve"> не відповідають фактичним обсягам накопичення сміття на території міста. Норми накопичення відходів сформовані на підставі наказу Міністерства будівництва,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архітектури та житлово-комунального господарства України від 10.01.2006 №7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Про затвердження Норм утворення побутових відходів для населених пунктів України“ без проведення спеціальних натуральних замірів фактичних обсягів накопичення твердих побутових відходів на об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 xml:space="preserve">єктах їх утворення у </w:t>
      </w:r>
    </w:p>
    <w:p w:rsidR="00DF0634" w:rsidRDefault="00DF0634" w:rsidP="00DF063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  <w:lang w:val="uk-UA"/>
        </w:rPr>
        <w:t>Пирятин</w:t>
      </w:r>
      <w:r>
        <w:rPr>
          <w:color w:val="000000"/>
          <w:sz w:val="28"/>
          <w:szCs w:val="28"/>
        </w:rPr>
        <w:t>. На даний час розроблений нормативний акт втратив чинність. За час дії цього рішення змінився морфологічний склад відходів,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 основному за рахунок пластикових пляшок, упаковочної тари,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змінилась система збирання відходів за рахунок скорочення безконтейнерного методу збору ТПВ</w:t>
      </w:r>
      <w:r>
        <w:rPr>
          <w:color w:val="000000"/>
          <w:sz w:val="28"/>
          <w:szCs w:val="28"/>
          <w:lang w:val="uk-UA"/>
        </w:rPr>
        <w:t>. Р</w:t>
      </w:r>
      <w:r w:rsidRPr="00375944">
        <w:rPr>
          <w:color w:val="000000"/>
          <w:sz w:val="28"/>
          <w:szCs w:val="28"/>
          <w:lang w:val="uk-UA"/>
        </w:rPr>
        <w:t>озширився перелік об</w:t>
      </w:r>
      <w:r>
        <w:rPr>
          <w:color w:val="000000"/>
          <w:sz w:val="28"/>
          <w:szCs w:val="28"/>
          <w:lang w:val="uk-UA"/>
        </w:rPr>
        <w:t>’</w:t>
      </w:r>
      <w:r w:rsidRPr="00375944">
        <w:rPr>
          <w:color w:val="000000"/>
          <w:sz w:val="28"/>
          <w:szCs w:val="28"/>
          <w:lang w:val="uk-UA"/>
        </w:rPr>
        <w:t xml:space="preserve">єктів утворення ТПВ. Виходячи з вище викладеного </w:t>
      </w:r>
      <w:r>
        <w:rPr>
          <w:color w:val="000000"/>
          <w:sz w:val="28"/>
          <w:szCs w:val="28"/>
          <w:lang w:val="uk-UA"/>
        </w:rPr>
        <w:t>виникла потреба в прийнятті іншого регу</w:t>
      </w:r>
      <w:r w:rsidRPr="00375944">
        <w:rPr>
          <w:color w:val="000000"/>
          <w:sz w:val="28"/>
          <w:szCs w:val="28"/>
          <w:lang w:val="uk-UA"/>
        </w:rPr>
        <w:t>ляторного акта</w:t>
      </w:r>
      <w:r>
        <w:rPr>
          <w:color w:val="000000"/>
          <w:sz w:val="28"/>
          <w:szCs w:val="28"/>
          <w:lang w:val="uk-UA"/>
        </w:rPr>
        <w:t xml:space="preserve"> яким би встановлювалися норми твердих побутових відходів для житлових будинків та підприємств невиробничої сфери міста Пирятина“.</w:t>
      </w:r>
    </w:p>
    <w:p w:rsidR="00DF0634" w:rsidRDefault="00DF0634" w:rsidP="00DF063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Розрахунки вказаних норм були </w:t>
      </w:r>
      <w:r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груд</w:t>
      </w:r>
      <w:r>
        <w:rPr>
          <w:color w:val="000000"/>
          <w:sz w:val="28"/>
          <w:szCs w:val="28"/>
        </w:rPr>
        <w:t>ні 201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по заключеному д</w:t>
      </w:r>
      <w:r>
        <w:rPr>
          <w:color w:val="000000"/>
          <w:sz w:val="28"/>
          <w:szCs w:val="28"/>
        </w:rPr>
        <w:t>оговор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між КП</w:t>
      </w:r>
      <w:r>
        <w:rPr>
          <w:color w:val="000000"/>
          <w:sz w:val="28"/>
          <w:szCs w:val="28"/>
          <w:lang w:val="uk-UA"/>
        </w:rPr>
        <w:t xml:space="preserve"> „Каштан“</w:t>
      </w:r>
      <w:r>
        <w:rPr>
          <w:color w:val="000000"/>
          <w:sz w:val="28"/>
          <w:szCs w:val="28"/>
        </w:rPr>
        <w:t xml:space="preserve"> та ТОВ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color w:val="000000"/>
          <w:sz w:val="28"/>
          <w:szCs w:val="28"/>
        </w:rPr>
        <w:t>Науково-виробниче об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 xml:space="preserve">єднання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ЕССА</w:t>
      </w:r>
      <w:r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Харків. Дослідження проводились за спеціальною Методикою,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яка передбачала проведення натурних замірів та встановлення фактичних обсягів накопичення ТПВ на об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єктах їх утворення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(житлових багатоквартирних та індивідуальних будинках;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підприємствах </w:t>
      </w:r>
      <w:r>
        <w:rPr>
          <w:color w:val="000000"/>
          <w:sz w:val="28"/>
          <w:szCs w:val="28"/>
          <w:lang w:val="uk-UA"/>
        </w:rPr>
        <w:t>торгівлі та громадського харчування</w:t>
      </w:r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  <w:lang w:val="uk-UA"/>
        </w:rPr>
        <w:t xml:space="preserve">Вказані дослідження стали результатом виконаного  </w:t>
      </w:r>
      <w:r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color w:val="000000"/>
          <w:sz w:val="28"/>
          <w:szCs w:val="28"/>
        </w:rPr>
        <w:t>Науково-виробниче об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 xml:space="preserve">єднання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ЕССА</w:t>
      </w:r>
      <w:r>
        <w:rPr>
          <w:color w:val="000000"/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звіту „Визначення норм утворення твердих побутових відходів в упорядкованих будинках, будинках приватного сектора та підприємств торгівлі (промтоварні та продовольчі магазини) і підприємства громадського харчування (кафе, ресторан) в м. Пирятин“.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Норма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 кількісний показник споживання послуг з вивезення </w:t>
      </w:r>
      <w:r>
        <w:rPr>
          <w:color w:val="000000"/>
          <w:sz w:val="28"/>
          <w:szCs w:val="28"/>
        </w:rPr>
        <w:lastRenderedPageBreak/>
        <w:t>побут</w:t>
      </w:r>
      <w:bookmarkStart w:id="0" w:name="_GoBack"/>
      <w:bookmarkEnd w:id="0"/>
      <w:r>
        <w:rPr>
          <w:color w:val="000000"/>
          <w:sz w:val="28"/>
          <w:szCs w:val="28"/>
        </w:rPr>
        <w:t>ових відходів,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які утворюються на одну розрахункову одиницю</w:t>
      </w:r>
      <w:r>
        <w:rPr>
          <w:color w:val="000000"/>
          <w:sz w:val="28"/>
          <w:szCs w:val="28"/>
          <w:lang w:val="uk-UA"/>
        </w:rPr>
        <w:t xml:space="preserve"> (на одну людину; </w:t>
      </w:r>
      <w:smartTag w:uri="urn:schemas-microsoft-com:office:smarttags" w:element="metricconverter">
        <w:smartTagPr>
          <w:attr w:name="ProductID" w:val="1 м2"/>
        </w:smartTagPr>
        <w:r>
          <w:rPr>
            <w:color w:val="000000"/>
            <w:sz w:val="28"/>
            <w:szCs w:val="28"/>
            <w:lang w:val="uk-UA"/>
          </w:rPr>
          <w:t>1 м2</w:t>
        </w:r>
      </w:smartTag>
      <w:r>
        <w:rPr>
          <w:color w:val="000000"/>
          <w:sz w:val="28"/>
          <w:szCs w:val="28"/>
          <w:lang w:val="uk-UA"/>
        </w:rPr>
        <w:t xml:space="preserve"> торгівельної та складської площі, 1 місце.) </w:t>
      </w:r>
      <w:r>
        <w:rPr>
          <w:color w:val="000000"/>
          <w:sz w:val="28"/>
          <w:szCs w:val="28"/>
        </w:rPr>
        <w:t>за одиницю часу. Послуги надаються на підставі договору,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який укладається між фізичною або юридичною особою та виконавцем послуг</w:t>
      </w:r>
      <w:r>
        <w:rPr>
          <w:color w:val="000000"/>
          <w:sz w:val="28"/>
          <w:szCs w:val="28"/>
          <w:lang w:val="uk-UA"/>
        </w:rPr>
        <w:t>. О</w:t>
      </w:r>
      <w:r>
        <w:rPr>
          <w:color w:val="000000"/>
          <w:sz w:val="28"/>
          <w:szCs w:val="28"/>
        </w:rPr>
        <w:t>бсяг надання послуг розраховується на підставі норм,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затверджених органом місцевого самоврядування. Плата за надані послуги нараховується щомісяця відповідно до умов договору і тарифів,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що формуються відповідно до постанови Кабінету Міністрів України від 26 липня 2006 року №1010. </w:t>
      </w:r>
      <w:r>
        <w:rPr>
          <w:color w:val="000000"/>
          <w:sz w:val="28"/>
          <w:szCs w:val="28"/>
          <w:lang w:val="uk-UA"/>
        </w:rPr>
        <w:t>Норми переглядаються один раз на 5 років.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 основу   </w:t>
      </w:r>
      <w:r>
        <w:rPr>
          <w:color w:val="000000"/>
          <w:sz w:val="28"/>
          <w:szCs w:val="28"/>
        </w:rPr>
        <w:t>для визначення норм надання послуг з вивезення побутових відходів для житлових будинків,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підприємств прийнято рекомендовані норми,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затверджені Наказом Міністерства з питань житлово-комунального господарства України від 22 березня 2010 року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75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Про затвердження Рекомендованих норм надання послуг з вивезення побутових відходів“.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2.Цілі державного регулювання.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Основною метою розробки проекту рішення сесії міської ради є удосконалення нормативної бази підприємства КП „Каштан“,  відповідність норм сучасним умовам та обсягам утворення твердих побутових відходів.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Затвердження норм надання послуг з вивезення побутових відходів сприятиме поліпшенню санітарно-епідеміологічного стану міста, ліквідації несанкціонованих сміттєзвалищ та є актуальними для забезпечення стабільної роботи підприємства - виконавця послуг з вивезення побутових відходів.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Встановлення норм дозволить комунальному підприємству покращити свій фінансовий стан, підвищити якість надання послуг з вивезення побутових відходів та рівень організації робіт у сфері поводження з побутовими відходами.  </w:t>
      </w:r>
      <w:r>
        <w:rPr>
          <w:color w:val="000000"/>
          <w:sz w:val="28"/>
          <w:szCs w:val="28"/>
        </w:rPr>
        <w:t xml:space="preserve">Відповідно до статті 30 Закону України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>Про місцеве самоврядування в Україні“ затвердження норм надання послуг з вивезення побутових відходів належить до повноважень органів місцевого самоврядування.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3.Визначення та оцінка альтернативних способів досягнення визначених цілей.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Перша альтернатива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збереження існуючого стану. Така альтернатива є непри</w:t>
      </w:r>
      <w:r>
        <w:rPr>
          <w:color w:val="000000"/>
          <w:sz w:val="28"/>
          <w:szCs w:val="28"/>
          <w:lang w:val="uk-UA"/>
        </w:rPr>
        <w:t>йнятною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тому що утворення твердих побутових відходів не є стабільним показником,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кількість відходів постійно змінюється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як на побутовому рівні,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так і в різних сферах діяльності. Норми надання послуг з вивезення побутових відходів потребують перерахунку та уточнення один раз на 5 років.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Друга альтернатива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прийняття запропонованого проекту норм надання послуг з вивезення побутових відходів,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які відповідають сучасним умовам утворення відходів.</w:t>
      </w:r>
      <w:r>
        <w:rPr>
          <w:color w:val="000000"/>
          <w:sz w:val="28"/>
          <w:szCs w:val="28"/>
          <w:lang w:val="uk-UA"/>
        </w:rPr>
        <w:t xml:space="preserve"> Прийняття проекту запропонованого рішення щодо норм надання послуг з вивезення побутових відходів для житлових </w:t>
      </w:r>
      <w:r>
        <w:rPr>
          <w:color w:val="000000"/>
          <w:sz w:val="28"/>
          <w:szCs w:val="28"/>
          <w:lang w:val="uk-UA"/>
        </w:rPr>
        <w:lastRenderedPageBreak/>
        <w:t xml:space="preserve">будинків та підприємств буде підставою для укладання договорів із споживачами послуг та внесення відповідних змін до діючих господарських договорів. </w:t>
      </w:r>
      <w:r>
        <w:rPr>
          <w:color w:val="000000"/>
          <w:sz w:val="28"/>
          <w:szCs w:val="28"/>
        </w:rPr>
        <w:t>Укладені договори регламентують умови надання послуг та містять відповідальність за їх невиконання.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4.Механізм та заходи,що пропонуються для розв</w:t>
      </w:r>
      <w:r>
        <w:rPr>
          <w:b/>
          <w:color w:val="000000"/>
          <w:sz w:val="28"/>
          <w:szCs w:val="28"/>
          <w:lang w:val="uk-UA"/>
        </w:rPr>
        <w:t>’</w:t>
      </w:r>
      <w:r>
        <w:rPr>
          <w:b/>
          <w:color w:val="000000"/>
          <w:sz w:val="28"/>
          <w:szCs w:val="28"/>
        </w:rPr>
        <w:t>язання проблем.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Даним регуляторним актом забезпечується збалансованість інтересів споживача послуг та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виконавця послуг: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розрахунки за надані послуги з вивезення побутових відходів, виходячи із затверджених норм, дають можливість покривати експлуатаційні витрати підприємства-виконавця послуг для підтримання в належному технічному стані основні засоби з метою забезпечення безперебійного та якісного вивезення відходів;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стабілізується фінансовий стан підприємства;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підприємства отримують комплекс послуг з санітарної очистки за зручними   графіками обслуговування, якісно та в необхідних обсягах  в результаті покриття витрат на виконання послуг.</w:t>
      </w:r>
    </w:p>
    <w:p w:rsidR="00DF0634" w:rsidRDefault="00DF0634" w:rsidP="00DF0634">
      <w:pPr>
        <w:pStyle w:val="a3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Розробка рішення  здійснюється за принципами:                                                            законності;                                                                                                                         гласності (відкритості та загальнодоступності);                                                         колегіальності;                                                                                                                  урахування пропозицій підприємства;                                                                           науковості;                                                                                                                         економічної та юридичної обґрунтованості. 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5.Можливість досягнення визначених цілей у разі прийняття регуляторного акта.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Дане рішення </w:t>
      </w:r>
      <w:r>
        <w:rPr>
          <w:color w:val="000000"/>
          <w:sz w:val="28"/>
          <w:szCs w:val="28"/>
          <w:lang w:val="uk-UA"/>
        </w:rPr>
        <w:t xml:space="preserve">сесії </w:t>
      </w:r>
      <w:r>
        <w:rPr>
          <w:color w:val="000000"/>
          <w:sz w:val="28"/>
          <w:szCs w:val="28"/>
        </w:rPr>
        <w:t>передбачає встановлення норм надання послуг з вивезення побутових відходів для житлових багатоквартирних будинків,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індивідуальних будинків,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підприємств,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які будуть використовуватись під час укладання договорів за надання послуг з метою визначення обсягів виробництва та реалізації цих послуг.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 ризиком,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який може негативно вплинути на дію цього регуляторного акт</w:t>
      </w:r>
      <w:r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</w:rPr>
        <w:t>є подальше збільшення утворення відходів від споживачів послуг. Для попередження негативних наслідків буде здійснюватись моніторинг факторів у сфері поводження з побутовими відходами та законодавчої бази. При необхідності будуть вноситись зміни до регуляторного акт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6.Визначення очікуваних результатів прийняття акта.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Аналіз вигод і витрат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809"/>
        <w:gridCol w:w="4762"/>
      </w:tblGrid>
      <w:tr w:rsidR="00DF0634" w:rsidTr="009A16A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Категорія суб</w:t>
            </w:r>
            <w:r>
              <w:rPr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color w:val="000000"/>
                <w:sz w:val="28"/>
                <w:szCs w:val="28"/>
              </w:rPr>
              <w:t>єктів ,на яких впливає документ</w:t>
            </w:r>
          </w:p>
        </w:tc>
      </w:tr>
      <w:tr w:rsidR="00DF0634" w:rsidTr="009A16A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Органи влади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Вирішення питання безперебійного і </w:t>
            </w:r>
            <w:r>
              <w:rPr>
                <w:color w:val="000000"/>
                <w:sz w:val="28"/>
                <w:szCs w:val="28"/>
              </w:rPr>
              <w:lastRenderedPageBreak/>
              <w:t>якісного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виконання послуг санітарної очистки міста.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Підвищення бази оподаткування та обсягу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надходження до бюджету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результаті збільшення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обсягів послуг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Збільшення витрат на оплату послуг </w:t>
            </w:r>
            <w:r>
              <w:rPr>
                <w:color w:val="000000"/>
                <w:sz w:val="28"/>
                <w:szCs w:val="28"/>
              </w:rPr>
              <w:lastRenderedPageBreak/>
              <w:t>санітарної очистки для організацій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які фінансуються за рахунок місцевого бюджету</w:t>
            </w:r>
          </w:p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F0634" w:rsidTr="009A16A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Підприємства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Стабілізація роботи підприємств, дотримання графіків обслуговування споживачів,виконання замовлень у повному обсязі.Зменшення скарг та звернень споживачів</w:t>
            </w:r>
          </w:p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Додаткових витрат не передбачається.</w:t>
            </w:r>
          </w:p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0634" w:rsidTr="009A16A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color w:val="000000"/>
                <w:sz w:val="28"/>
                <w:szCs w:val="28"/>
              </w:rPr>
              <w:t>Суб</w:t>
            </w:r>
            <w:r>
              <w:rPr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color w:val="000000"/>
                <w:sz w:val="28"/>
                <w:szCs w:val="28"/>
              </w:rPr>
              <w:t>єкти господарювання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обслуговування об’єктів за погодженим графіком на вивезення та знешкодження ТПВ, підвищення якості обслуговування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Збільшення витрат на оплату послуг з вивезення та знешкодження твердих побутових відходів за рахунок росту обсягів послуг</w:t>
            </w:r>
          </w:p>
        </w:tc>
      </w:tr>
      <w:tr w:rsidR="00DF0634" w:rsidTr="009A16A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tabs>
                <w:tab w:val="left" w:pos="32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ab/>
              <w:t xml:space="preserve">              </w:t>
            </w:r>
            <w:r>
              <w:rPr>
                <w:color w:val="000000"/>
                <w:sz w:val="28"/>
                <w:szCs w:val="28"/>
              </w:rPr>
              <w:t>Населення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DF0634" w:rsidTr="009A16A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Забезпечення обслуговування житлових будинків за погодженим графіком на вивезення та знешкодження ТПВ, підвищення якості обслуговування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4" w:rsidRDefault="00DF0634" w:rsidP="009A16A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Збільшення витрат на оплату послуг з вивезення та знешкодження твердих побутових відходів за рахунок росту обсягів послуг</w:t>
            </w:r>
          </w:p>
        </w:tc>
      </w:tr>
    </w:tbl>
    <w:p w:rsidR="00DF0634" w:rsidRDefault="00DF0634" w:rsidP="00DF0634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7.Оцінка ризику впливу зовнішніх чинників на дію запропонованого регуляторного акта.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Найбільш вагомими зовнішніми чинниками,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що впливають на дію регуляторного акта будуть зміни: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чинного законодавства у сфері надання послуг з вивезення побутових відходів;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рекомендованих норм надання послуг з вивезення побутових відходів.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Зазначені чинники мають значний вплив на результативність дії запропонованого регуляторного акта, тому буде впроваджено постійний моніторинг їх оцінки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за результатами якого до запропонованого регуляторного акта будуть внесені відповідні зміни для усунення їх негативного впливу.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8.Обгрунтування строку чинності регуляторного акта.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Строк чинності регуляторного акта обумовлений чинністю існуючої правової бази та може бути переглянутий при її зміні.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Термін дії запропонованого регуляторного акта необмежиний за умови </w:t>
      </w:r>
      <w:r>
        <w:rPr>
          <w:color w:val="000000"/>
          <w:sz w:val="28"/>
          <w:szCs w:val="28"/>
        </w:rPr>
        <w:lastRenderedPageBreak/>
        <w:t>відсутності внесення змін у законодавство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9.Визначення показників результативності дії регуляторного акта.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У результаті впровадження регуляторного акта будуть досліджуватись та вивчатись наступні показники: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1.Розмір надходжень до міс</w:t>
      </w:r>
      <w:r>
        <w:rPr>
          <w:color w:val="000000"/>
          <w:sz w:val="28"/>
          <w:szCs w:val="28"/>
          <w:lang w:val="uk-UA"/>
        </w:rPr>
        <w:t xml:space="preserve">ького </w:t>
      </w:r>
      <w:r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2.Кількість суб’єктів господарювання,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населення міста,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 які поширюється дане рішення.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3.Розмір коштів і час,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що витрачатимуться суб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 xml:space="preserve">єктами </w:t>
      </w:r>
      <w:r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</w:rPr>
        <w:t>осподарювання,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населення при виконанні вимог рішення.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4.Рівень поінформованості суб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єктів господарювання,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населення міста з основними положеннями акта.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5.Результати фінансово-економічної діяльності підприємства,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>рівень прибутковості чи збитковості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(за рік та щоквартально).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6.Рівень відшкодування витрат на виконання послуг санітарної очистки,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доходами від надання послуг за даними нормами утворення ТПВ.</w:t>
      </w:r>
      <w:r>
        <w:rPr>
          <w:color w:val="000000"/>
          <w:sz w:val="28"/>
          <w:szCs w:val="28"/>
          <w:lang w:val="uk-UA"/>
        </w:rPr>
        <w:t xml:space="preserve">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7.Показники якості, кількість скарг на неякісне надання послуг,незручності обслуговування в часі та періодичності.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 регуляторного акту не впливає на кількість суб</w:t>
      </w:r>
      <w:r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</w:rPr>
        <w:t>єктів господарювання та фізичних осіб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 які він поширюється, тому цей показник не буде застосовуватись при відстеженні результативності регуляторного акту.</w:t>
      </w:r>
    </w:p>
    <w:p w:rsidR="00DF0634" w:rsidRDefault="00DF0634" w:rsidP="00DF0634">
      <w:pPr>
        <w:pStyle w:val="a3"/>
        <w:rPr>
          <w:b/>
          <w:color w:val="000000"/>
          <w:sz w:val="28"/>
          <w:szCs w:val="28"/>
          <w:lang w:val="uk-UA"/>
        </w:rPr>
      </w:pPr>
    </w:p>
    <w:p w:rsidR="00DF0634" w:rsidRDefault="00DF0634" w:rsidP="00DF0634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10.Заходи,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за допомогою яких здійснюватиметься відстеження результативності регуляторного акту.</w:t>
      </w:r>
    </w:p>
    <w:p w:rsidR="00DF0634" w:rsidRDefault="00DF0634" w:rsidP="00DF063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Базове відстеження буде проведено до дня набуття чинності регуляторного акту.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Повторне відстеження буде проведено через рік після прийняття рішення про зміну норм надання послуг за результатами якого можна здійснити порівняння показників базового та повторного відстеження. У разі виникнення неврегульованих та проблемних питань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вони будуть усунені шляхом внесення відповідних змін.</w:t>
      </w:r>
    </w:p>
    <w:p w:rsidR="00DF0634" w:rsidRDefault="00DF0634" w:rsidP="00DF0634">
      <w:pPr>
        <w:rPr>
          <w:sz w:val="28"/>
          <w:szCs w:val="28"/>
          <w:lang w:val="uk-UA"/>
        </w:rPr>
      </w:pPr>
    </w:p>
    <w:p w:rsidR="00DF0634" w:rsidRDefault="00DF0634" w:rsidP="00DF0634">
      <w:pPr>
        <w:rPr>
          <w:sz w:val="28"/>
          <w:szCs w:val="28"/>
          <w:lang w:val="uk-UA"/>
        </w:rPr>
      </w:pPr>
    </w:p>
    <w:p w:rsidR="00DF0634" w:rsidRDefault="00DF0634" w:rsidP="00DF0634">
      <w:pPr>
        <w:rPr>
          <w:sz w:val="28"/>
          <w:szCs w:val="28"/>
          <w:lang w:val="uk-UA"/>
        </w:rPr>
      </w:pPr>
    </w:p>
    <w:p w:rsidR="00DF0634" w:rsidRDefault="00DF0634" w:rsidP="00DF0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фінансів та обліку</w:t>
      </w:r>
    </w:p>
    <w:p w:rsidR="00DF0634" w:rsidRDefault="00DF0634" w:rsidP="00DF0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міської ради                                                                   І.О.Цюра</w:t>
      </w:r>
    </w:p>
    <w:p w:rsidR="00DF0634" w:rsidRPr="00375944" w:rsidRDefault="00DF0634" w:rsidP="00DF0634">
      <w:pPr>
        <w:rPr>
          <w:sz w:val="28"/>
          <w:szCs w:val="28"/>
          <w:lang w:val="uk-UA"/>
        </w:rPr>
      </w:pPr>
    </w:p>
    <w:p w:rsidR="003643F9" w:rsidRDefault="003643F9"/>
    <w:sectPr w:rsidR="0036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4"/>
    <w:rsid w:val="003643F9"/>
    <w:rsid w:val="007B39A0"/>
    <w:rsid w:val="00D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634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D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634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rsid w:val="00D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7575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2015-05-14T18:39:00Z</dcterms:created>
  <dcterms:modified xsi:type="dcterms:W3CDTF">2015-05-14T18:39:00Z</dcterms:modified>
</cp:coreProperties>
</file>