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5" w:rsidRPr="0080327D" w:rsidRDefault="006E1295" w:rsidP="006E1295">
      <w:pPr>
        <w:jc w:val="center"/>
        <w:rPr>
          <w:b/>
          <w:color w:val="000000"/>
          <w:sz w:val="28"/>
          <w:szCs w:val="28"/>
          <w:lang w:val="uk-UA"/>
        </w:rPr>
      </w:pPr>
      <w:r w:rsidRPr="0080327D">
        <w:rPr>
          <w:b/>
          <w:color w:val="000000"/>
          <w:sz w:val="28"/>
          <w:szCs w:val="28"/>
        </w:rPr>
        <w:fldChar w:fldCharType="begin"/>
      </w:r>
      <w:r w:rsidRPr="0080327D">
        <w:rPr>
          <w:b/>
          <w:color w:val="000000"/>
          <w:sz w:val="28"/>
          <w:szCs w:val="28"/>
        </w:rPr>
        <w:instrText xml:space="preserve"> HYPERLINK "http://putivl-rada.gov.ua/?p=574" \o "Permanent Link to Аналіз регуляторного впливу" </w:instrText>
      </w:r>
      <w:r w:rsidRPr="0080327D">
        <w:rPr>
          <w:b/>
          <w:color w:val="000000"/>
          <w:sz w:val="28"/>
          <w:szCs w:val="28"/>
        </w:rPr>
        <w:fldChar w:fldCharType="separate"/>
      </w:r>
      <w:r w:rsidRPr="006E1295">
        <w:rPr>
          <w:rStyle w:val="a5"/>
          <w:b/>
          <w:color w:val="000000"/>
          <w:sz w:val="28"/>
          <w:szCs w:val="28"/>
          <w:lang w:val="ru-RU"/>
        </w:rPr>
        <w:t xml:space="preserve">Аналіз регуляторного впливу  </w:t>
      </w:r>
      <w:r w:rsidRPr="0080327D">
        <w:rPr>
          <w:rStyle w:val="a5"/>
          <w:b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Pr="006E1295">
        <w:rPr>
          <w:rStyle w:val="a5"/>
          <w:b/>
          <w:color w:val="000000"/>
          <w:sz w:val="28"/>
          <w:szCs w:val="28"/>
          <w:lang w:val="ru-RU"/>
        </w:rPr>
        <w:t xml:space="preserve">                      проекту рішення Пирятинської міської ради „Про затвердження нормативних документів по використанню комунального майна, що знаходиться у власності територіальної громади м</w:t>
      </w:r>
      <w:proofErr w:type="gramStart"/>
      <w:r w:rsidRPr="006E1295">
        <w:rPr>
          <w:rStyle w:val="a5"/>
          <w:b/>
          <w:color w:val="000000"/>
          <w:sz w:val="28"/>
          <w:szCs w:val="28"/>
          <w:lang w:val="ru-RU"/>
        </w:rPr>
        <w:t>.П</w:t>
      </w:r>
      <w:proofErr w:type="gramEnd"/>
      <w:r w:rsidRPr="006E1295">
        <w:rPr>
          <w:rStyle w:val="a5"/>
          <w:b/>
          <w:color w:val="000000"/>
          <w:sz w:val="28"/>
          <w:szCs w:val="28"/>
          <w:lang w:val="ru-RU"/>
        </w:rPr>
        <w:t xml:space="preserve">ирятин“ </w:t>
      </w:r>
      <w:r w:rsidRPr="0080327D">
        <w:rPr>
          <w:b/>
          <w:color w:val="000000"/>
          <w:sz w:val="28"/>
          <w:szCs w:val="28"/>
        </w:rPr>
        <w:fldChar w:fldCharType="end"/>
      </w:r>
    </w:p>
    <w:p w:rsidR="006E1295" w:rsidRDefault="006E1295" w:rsidP="006E1295">
      <w:pPr>
        <w:jc w:val="center"/>
        <w:rPr>
          <w:sz w:val="28"/>
          <w:szCs w:val="28"/>
          <w:lang w:val="uk-UA"/>
        </w:rPr>
      </w:pPr>
    </w:p>
    <w:p w:rsidR="006E1295" w:rsidRDefault="006E1295" w:rsidP="006E1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Пропозиції та зауваження щодо проекту рішення приймаються розробником від фізичних осіб, фізичних осіб - суб’єктів підприємницької діяльності та юридичних осіб у письмовій формі за адресою: 37000, Полтавська обл., м.Пирятин, вул. Леніна, 21. Пропозиції приймаються протягом місяця з дня оприлюднення проекту регуляторного акта.</w:t>
      </w:r>
    </w:p>
    <w:p w:rsidR="006E1295" w:rsidRDefault="006E1295" w:rsidP="006E129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регуляторного акта: </w:t>
      </w:r>
      <w:r>
        <w:rPr>
          <w:sz w:val="28"/>
          <w:lang w:val="uk-UA"/>
        </w:rPr>
        <w:t>рішення Пирятинської міської ради „Про затвердження нормативних документів по використанню комунального майна,</w:t>
      </w:r>
      <w:r>
        <w:rPr>
          <w:sz w:val="28"/>
          <w:szCs w:val="28"/>
          <w:lang w:val="uk-UA"/>
        </w:rPr>
        <w:t xml:space="preserve"> що знаходиться  у власності територіальної громади м.Пирятин“. </w:t>
      </w:r>
    </w:p>
    <w:p w:rsidR="006E1295" w:rsidRDefault="006E1295" w:rsidP="006E1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 документу: відділ фінансів та обліку виконкому Пирятинської міської ради.</w:t>
      </w:r>
    </w:p>
    <w:p w:rsidR="006E1295" w:rsidRDefault="006E1295" w:rsidP="006E129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підготовлений з метою визначення впливу, який справлятиме рішення Пирятинської ради „Про </w:t>
      </w:r>
      <w:r>
        <w:rPr>
          <w:sz w:val="28"/>
          <w:lang w:val="uk-UA"/>
        </w:rPr>
        <w:t>затвердження нормативних документів по використанню комунального майна,</w:t>
      </w:r>
      <w:r>
        <w:rPr>
          <w:sz w:val="28"/>
          <w:szCs w:val="28"/>
          <w:lang w:val="uk-UA"/>
        </w:rPr>
        <w:t xml:space="preserve"> що знаходиться  у власності територіальної громади м. Пирятин“ на ринкове середовище, забезпечення прав та інтересів суб’єктів господарювання, громадян та держави, а також обґрунтування відповідності проекту рішення принципам державної регуляторної політики, одержання зауважень та пропозицій від зацікавлених осіб.</w:t>
      </w:r>
    </w:p>
    <w:p w:rsidR="006E1295" w:rsidRDefault="006E1295" w:rsidP="006E129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</w:rPr>
        <w:t xml:space="preserve">1. Визначення та аналіз проблеми, яку пропонується розв’язати шляхом </w:t>
      </w:r>
      <w:proofErr w:type="gramStart"/>
      <w:r>
        <w:rPr>
          <w:b/>
          <w:sz w:val="28"/>
          <w:szCs w:val="28"/>
        </w:rPr>
        <w:t>державного</w:t>
      </w:r>
      <w:proofErr w:type="gramEnd"/>
      <w:r>
        <w:rPr>
          <w:b/>
          <w:sz w:val="28"/>
          <w:szCs w:val="28"/>
        </w:rPr>
        <w:t xml:space="preserve"> регулювання.</w:t>
      </w:r>
    </w:p>
    <w:p w:rsidR="006E1295" w:rsidRDefault="006E1295" w:rsidP="006E1295">
      <w:pPr>
        <w:tabs>
          <w:tab w:val="left" w:pos="720"/>
          <w:tab w:val="left" w:pos="90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5 статті 60 Закону України „Про місцеве самоврядування в Україні“, органи місцевого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об’єктами права комунальної власності, в тому числі виконують усі майнові операції, можуть передавати об’єкти права комунальної власності у постійне або тимчасове користування юридичним та фізичним особам, здавати їх в оренду тощо.</w:t>
      </w:r>
      <w:r>
        <w:rPr>
          <w:sz w:val="28"/>
          <w:szCs w:val="28"/>
          <w:lang w:val="uk-UA"/>
        </w:rPr>
        <w:br/>
        <w:t xml:space="preserve">          Відносини щодо оренди комунального майна регулюються нормами спеціальних законів. </w:t>
      </w:r>
      <w:r>
        <w:rPr>
          <w:sz w:val="28"/>
          <w:szCs w:val="28"/>
        </w:rPr>
        <w:t xml:space="preserve">Відповідно до цих норм підготовлений проект рішення </w:t>
      </w:r>
      <w:r>
        <w:rPr>
          <w:sz w:val="28"/>
          <w:szCs w:val="28"/>
          <w:lang w:val="uk-UA"/>
        </w:rPr>
        <w:t>Пирятинської ради</w:t>
      </w:r>
      <w:proofErr w:type="gramStart"/>
      <w:r>
        <w:rPr>
          <w:sz w:val="28"/>
          <w:szCs w:val="28"/>
          <w:lang w:val="uk-UA"/>
        </w:rPr>
        <w:t xml:space="preserve"> „П</w:t>
      </w:r>
      <w:proofErr w:type="gramEnd"/>
      <w:r>
        <w:rPr>
          <w:sz w:val="28"/>
          <w:szCs w:val="28"/>
          <w:lang w:val="uk-UA"/>
        </w:rPr>
        <w:t xml:space="preserve">ро </w:t>
      </w:r>
      <w:r>
        <w:rPr>
          <w:sz w:val="28"/>
          <w:lang w:val="uk-UA"/>
        </w:rPr>
        <w:t>затвердження нормативних документів по використанню комунального майна,</w:t>
      </w:r>
      <w:r>
        <w:rPr>
          <w:sz w:val="28"/>
          <w:szCs w:val="28"/>
          <w:lang w:val="uk-UA"/>
        </w:rPr>
        <w:t xml:space="preserve"> що знаходиться  у власності територіальної громади м. Пирятин“.</w:t>
      </w:r>
      <w:r>
        <w:rPr>
          <w:sz w:val="28"/>
          <w:szCs w:val="28"/>
        </w:rPr>
        <w:t xml:space="preserve"> Зазначений регуляторний акт покликаний на створення єдиного організаційно-економічного механізму розрахунку, внесення та використання плати за майно яке знаходиться в комунальній власності і використовується суб‘єктами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 діяльності згідно з договорами оренди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Набрання чинності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r>
        <w:rPr>
          <w:sz w:val="28"/>
          <w:szCs w:val="28"/>
          <w:lang w:val="uk-UA"/>
        </w:rPr>
        <w:t xml:space="preserve">Пирятинської ради „Про </w:t>
      </w:r>
      <w:r>
        <w:rPr>
          <w:sz w:val="28"/>
          <w:lang w:val="uk-UA"/>
        </w:rPr>
        <w:t>затвердження нормативних документів по використанню комунального майна,</w:t>
      </w:r>
      <w:r>
        <w:rPr>
          <w:sz w:val="28"/>
          <w:szCs w:val="28"/>
          <w:lang w:val="uk-UA"/>
        </w:rPr>
        <w:t xml:space="preserve"> що знаходиться  у власності територіальної громади м. Пирятин“ </w:t>
      </w:r>
      <w:r>
        <w:rPr>
          <w:sz w:val="28"/>
          <w:szCs w:val="28"/>
        </w:rPr>
        <w:t xml:space="preserve">приведе до </w:t>
      </w:r>
      <w:r>
        <w:rPr>
          <w:sz w:val="28"/>
          <w:szCs w:val="28"/>
        </w:rPr>
        <w:lastRenderedPageBreak/>
        <w:t>чіткого врегулювання відносин в сфері оренди комунального майна, забезпечення рівних умов для орендарів та поповнення місцевого бюджету.</w:t>
      </w:r>
    </w:p>
    <w:p w:rsidR="006E1295" w:rsidRDefault="006E1295" w:rsidP="006E1295">
      <w:pPr>
        <w:tabs>
          <w:tab w:val="left" w:pos="720"/>
          <w:tab w:val="left" w:pos="90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Прийняття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є необхідним, оскільки дане рішення: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встановлює процедуру розрахунку орендної плати за користування майном комунальної власності;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збільшить доходи міського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:rsidR="006E1295" w:rsidRDefault="006E1295" w:rsidP="006E1295">
      <w:pPr>
        <w:tabs>
          <w:tab w:val="left" w:pos="720"/>
          <w:tab w:val="left" w:pos="90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ілі державного регулювання.</w:t>
      </w: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іллю державного регулювання </w:t>
      </w:r>
      <w:r>
        <w:rPr>
          <w:sz w:val="28"/>
          <w:szCs w:val="28"/>
          <w:lang w:val="uk-UA"/>
        </w:rPr>
        <w:t xml:space="preserve">є створення </w:t>
      </w:r>
      <w:r>
        <w:rPr>
          <w:sz w:val="28"/>
          <w:szCs w:val="28"/>
        </w:rPr>
        <w:t>єдиного організаційно-економічного механізму розрахунку, внесення та використання плати за майно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яке знаходиться в комунальній власності, удосконалення правового регулювання відносин між органами влади та суб’єктами господарювання.</w:t>
      </w:r>
      <w:r>
        <w:rPr>
          <w:sz w:val="28"/>
          <w:szCs w:val="28"/>
        </w:rPr>
        <w:br/>
      </w:r>
    </w:p>
    <w:p w:rsidR="006E1295" w:rsidRDefault="006E1295" w:rsidP="006E1295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3. Альтернативні способи досягнення встановлених цілей.</w:t>
      </w: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Дане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ішення необхідно привести у відповідність до Закону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країни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 оренду державного та комунального майна“. Альтернативні варіанти будуть суперечити </w:t>
      </w:r>
      <w:proofErr w:type="gramStart"/>
      <w:r>
        <w:rPr>
          <w:sz w:val="28"/>
          <w:szCs w:val="28"/>
        </w:rPr>
        <w:t>чинному</w:t>
      </w:r>
      <w:proofErr w:type="gramEnd"/>
      <w:r>
        <w:rPr>
          <w:sz w:val="28"/>
          <w:szCs w:val="28"/>
        </w:rPr>
        <w:t xml:space="preserve"> законодавству України та поглиблювати існуючі проблеми, що стосуються нарахування та сплати орендної плати.</w:t>
      </w:r>
    </w:p>
    <w:p w:rsidR="006E1295" w:rsidRDefault="006E1295" w:rsidP="006E1295">
      <w:pPr>
        <w:tabs>
          <w:tab w:val="left" w:pos="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4. Механізм, який пропонується застосувати для розв’язаня проблеми.</w:t>
      </w: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Механізмом розв’язання проблеми є затвердження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міської ради Порядку проведення конкурсу на право оренди </w:t>
      </w:r>
      <w:r>
        <w:rPr>
          <w:sz w:val="28"/>
          <w:szCs w:val="28"/>
          <w:lang w:val="uk-UA"/>
        </w:rPr>
        <w:t>майна, що знаходиться у комунальній власності територіальної громади м. Пирятин</w:t>
      </w:r>
      <w:r>
        <w:rPr>
          <w:sz w:val="28"/>
          <w:szCs w:val="28"/>
        </w:rPr>
        <w:t>.</w:t>
      </w:r>
    </w:p>
    <w:p w:rsidR="006E1295" w:rsidRDefault="006E1295" w:rsidP="006E1295">
      <w:pPr>
        <w:tabs>
          <w:tab w:val="left" w:pos="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5. Обґрунтування можливості досягнення визначених цілей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раз</w:t>
      </w:r>
      <w:proofErr w:type="gramEnd"/>
      <w:r>
        <w:rPr>
          <w:b/>
          <w:sz w:val="28"/>
          <w:szCs w:val="28"/>
        </w:rPr>
        <w:t>і прийняття регуляторного акта.</w:t>
      </w:r>
    </w:p>
    <w:p w:rsidR="006E1295" w:rsidRDefault="006E1295" w:rsidP="006E1295">
      <w:pPr>
        <w:tabs>
          <w:tab w:val="left" w:pos="72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прийняття даного регуляторного акту є обґрунтованим, досягнення його цілей буде забезпечено встановленням уніфікованих правил при розрахунку орендної плати за користування майном комунальної власності Пирятинської міської ради. </w:t>
      </w:r>
      <w:r>
        <w:rPr>
          <w:sz w:val="28"/>
          <w:szCs w:val="28"/>
        </w:rPr>
        <w:t>Після прийняття даного регуляторного акту всі розрахунки орендної плати за користування майном комунальної власності Пи</w:t>
      </w:r>
      <w:r>
        <w:rPr>
          <w:sz w:val="28"/>
          <w:szCs w:val="28"/>
          <w:lang w:val="uk-UA"/>
        </w:rPr>
        <w:t xml:space="preserve">рятинської міської </w:t>
      </w:r>
      <w:r>
        <w:rPr>
          <w:sz w:val="28"/>
          <w:szCs w:val="28"/>
        </w:rPr>
        <w:t>ради проводитимуться по єдиній, затвердженій процедурі.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Впровадження методики розрахунку і порядку використання орендної плати за користування майном комунальної власності територіальної громади м</w:t>
      </w:r>
      <w:proofErr w:type="gramStart"/>
      <w:r>
        <w:rPr>
          <w:sz w:val="28"/>
          <w:szCs w:val="28"/>
          <w:lang w:val="uk-UA"/>
        </w:rPr>
        <w:t>.П</w:t>
      </w:r>
      <w:proofErr w:type="gramEnd"/>
      <w:r>
        <w:rPr>
          <w:sz w:val="28"/>
          <w:szCs w:val="28"/>
          <w:lang w:val="uk-UA"/>
        </w:rPr>
        <w:t>ирятин додаткових витрат не потребує.</w:t>
      </w:r>
      <w:r>
        <w:rPr>
          <w:sz w:val="28"/>
          <w:szCs w:val="28"/>
          <w:lang w:val="uk-UA"/>
        </w:rPr>
        <w:br/>
      </w:r>
    </w:p>
    <w:p w:rsidR="006E1295" w:rsidRDefault="006E1295" w:rsidP="006E1295">
      <w:pPr>
        <w:tabs>
          <w:tab w:val="left" w:pos="720"/>
        </w:tabs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Визначення очікуваних результатів прийняття акта.</w:t>
      </w:r>
    </w:p>
    <w:p w:rsidR="006E1295" w:rsidRDefault="006E1295" w:rsidP="006E1295">
      <w:pPr>
        <w:tabs>
          <w:tab w:val="left" w:pos="720"/>
          <w:tab w:val="left" w:pos="108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Очікуваними вигодами в разі прийняття даного акту для органів влади є:</w:t>
      </w:r>
      <w:r>
        <w:rPr>
          <w:sz w:val="28"/>
          <w:szCs w:val="28"/>
          <w:lang w:val="uk-UA"/>
        </w:rPr>
        <w:br/>
        <w:t xml:space="preserve">     збільшення доходів до міського бюджету;</w:t>
      </w:r>
      <w:r>
        <w:rPr>
          <w:sz w:val="28"/>
          <w:szCs w:val="28"/>
          <w:lang w:val="uk-UA"/>
        </w:rPr>
        <w:br/>
        <w:t xml:space="preserve">     ефективне використання комунального майна;</w:t>
      </w:r>
      <w:r>
        <w:rPr>
          <w:sz w:val="28"/>
          <w:szCs w:val="28"/>
          <w:lang w:val="uk-UA"/>
        </w:rPr>
        <w:br/>
        <w:t xml:space="preserve">     зменшення скарг з боку учасників договірних відносин.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Очікуваними вигодами для суб’єктів господарювання</w:t>
      </w:r>
      <w:proofErr w:type="gramStart"/>
      <w:r>
        <w:rPr>
          <w:sz w:val="28"/>
          <w:szCs w:val="28"/>
        </w:rPr>
        <w:t xml:space="preserve"> є: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встановлення чітких орендних ставок за користування майном комунальної власності;</w:t>
      </w:r>
      <w:r>
        <w:rPr>
          <w:sz w:val="28"/>
          <w:szCs w:val="28"/>
        </w:rPr>
        <w:br/>
        <w:t>належна проінформованість про умови розрахунку орендної плати.</w:t>
      </w:r>
      <w:r>
        <w:rPr>
          <w:sz w:val="28"/>
          <w:szCs w:val="28"/>
        </w:rPr>
        <w:br/>
      </w:r>
    </w:p>
    <w:p w:rsidR="006E1295" w:rsidRDefault="006E1295" w:rsidP="006E1295">
      <w:pPr>
        <w:tabs>
          <w:tab w:val="left" w:pos="720"/>
          <w:tab w:val="left" w:pos="1080"/>
        </w:tabs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7. Обгрунтування строку дії акта.</w:t>
      </w:r>
    </w:p>
    <w:p w:rsidR="006E1295" w:rsidRDefault="006E1295" w:rsidP="006E1295">
      <w:pPr>
        <w:tabs>
          <w:tab w:val="left" w:pos="180"/>
          <w:tab w:val="left" w:pos="72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>Термін дії запропонованого регуляторного акта – постійний, з можливістю внесення до нього змін.</w:t>
      </w:r>
    </w:p>
    <w:p w:rsidR="006E1295" w:rsidRDefault="006E1295" w:rsidP="006E1295">
      <w:pPr>
        <w:tabs>
          <w:tab w:val="left" w:pos="180"/>
          <w:tab w:val="left" w:pos="10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8. Визначення показників результативності акта.</w:t>
      </w:r>
    </w:p>
    <w:p w:rsidR="006E1295" w:rsidRDefault="006E1295" w:rsidP="006E1295">
      <w:pPr>
        <w:tabs>
          <w:tab w:val="left" w:pos="180"/>
          <w:tab w:val="left" w:pos="1080"/>
        </w:tabs>
        <w:ind w:firstLine="72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впровадження регуляторного акта будуть вивчатися та досліджуватися наступні показники його результативності: розмір надходжень до міс</w:t>
      </w:r>
      <w:r>
        <w:rPr>
          <w:sz w:val="28"/>
          <w:szCs w:val="28"/>
          <w:lang w:val="uk-UA"/>
        </w:rPr>
        <w:t xml:space="preserve">ького </w:t>
      </w:r>
      <w:r>
        <w:rPr>
          <w:sz w:val="28"/>
          <w:szCs w:val="28"/>
        </w:rPr>
        <w:t>бюджету від оренди комунального майна, ефективність використання комунального майна.</w:t>
      </w:r>
    </w:p>
    <w:p w:rsidR="006E1295" w:rsidRDefault="006E1295" w:rsidP="006E1295">
      <w:pPr>
        <w:tabs>
          <w:tab w:val="left" w:pos="180"/>
          <w:tab w:val="left" w:pos="10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9. Визначення заходів з відстеження результативності акта.</w:t>
      </w:r>
    </w:p>
    <w:p w:rsidR="006E1295" w:rsidRDefault="006E1295" w:rsidP="006E1295">
      <w:pPr>
        <w:tabs>
          <w:tab w:val="left" w:pos="180"/>
          <w:tab w:val="left" w:pos="108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Базове відстеження результативності регуляторного акта здійснюватиметься до дня набрання ним чинності. Повторне відстеження здійснюватиметься через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 після набрання чинності актом, але не пізніше ніж через два роки. Періодичне відстеження буде здійснюватися раз на три роки, починаючи з дня виконання заходів з повторного відстеження.</w:t>
      </w: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фінансів та обліку</w:t>
      </w:r>
    </w:p>
    <w:p w:rsidR="006E1295" w:rsidRDefault="006E1295" w:rsidP="006E1295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міської ради                                                                     І.О.Цюра</w:t>
      </w:r>
    </w:p>
    <w:p w:rsidR="006E1295" w:rsidRDefault="006E1295" w:rsidP="006E1295">
      <w:pPr>
        <w:pStyle w:val="a3"/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43F9" w:rsidRPr="006E1295" w:rsidRDefault="003643F9">
      <w:pPr>
        <w:rPr>
          <w:lang w:val="uk-UA"/>
        </w:rPr>
      </w:pPr>
      <w:bookmarkStart w:id="0" w:name="_GoBack"/>
      <w:bookmarkEnd w:id="0"/>
    </w:p>
    <w:sectPr w:rsidR="003643F9" w:rsidRPr="006E1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95"/>
    <w:rsid w:val="003643F9"/>
    <w:rsid w:val="006E1295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295"/>
    <w:pPr>
      <w:spacing w:after="120"/>
    </w:pPr>
  </w:style>
  <w:style w:type="character" w:customStyle="1" w:styleId="a4">
    <w:name w:val="Основний текст Знак"/>
    <w:basedOn w:val="a0"/>
    <w:link w:val="a3"/>
    <w:rsid w:val="006E1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nhideWhenUsed/>
    <w:rsid w:val="006E1295"/>
    <w:rPr>
      <w:rFonts w:ascii="Verdana" w:hAnsi="Verdana" w:hint="default"/>
      <w:color w:val="0000FF"/>
      <w:sz w:val="24"/>
      <w:szCs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295"/>
    <w:pPr>
      <w:spacing w:after="120"/>
    </w:pPr>
  </w:style>
  <w:style w:type="character" w:customStyle="1" w:styleId="a4">
    <w:name w:val="Основний текст Знак"/>
    <w:basedOn w:val="a0"/>
    <w:link w:val="a3"/>
    <w:rsid w:val="006E1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nhideWhenUsed/>
    <w:rsid w:val="006E1295"/>
    <w:rPr>
      <w:rFonts w:ascii="Verdana" w:hAnsi="Verdana" w:hint="default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2015-05-14T17:56:00Z</dcterms:created>
  <dcterms:modified xsi:type="dcterms:W3CDTF">2015-05-14T17:57:00Z</dcterms:modified>
</cp:coreProperties>
</file>