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AF" w:rsidRPr="001B0F50" w:rsidRDefault="00AE2DAF" w:rsidP="00AE2DAF">
      <w:pPr>
        <w:pStyle w:val="a3"/>
        <w:jc w:val="center"/>
        <w:rPr>
          <w:rFonts w:ascii="Times New Roman" w:hAnsi="Times New Roman"/>
          <w:b/>
          <w:sz w:val="28"/>
          <w:szCs w:val="28"/>
          <w:lang w:eastAsia="uk-UA"/>
        </w:rPr>
      </w:pPr>
      <w:r w:rsidRPr="001B0F50">
        <w:rPr>
          <w:rFonts w:ascii="Times New Roman" w:hAnsi="Times New Roman"/>
          <w:b/>
          <w:sz w:val="28"/>
          <w:szCs w:val="28"/>
          <w:lang w:eastAsia="uk-UA"/>
        </w:rPr>
        <w:t>Аналіз регуляторного впливу</w:t>
      </w:r>
    </w:p>
    <w:p w:rsidR="00AE2DAF" w:rsidRDefault="00AE2DAF" w:rsidP="00AE2DAF">
      <w:pPr>
        <w:pStyle w:val="a3"/>
        <w:jc w:val="center"/>
        <w:rPr>
          <w:rFonts w:ascii="Times New Roman" w:hAnsi="Times New Roman"/>
          <w:b/>
          <w:sz w:val="28"/>
          <w:szCs w:val="28"/>
          <w:lang w:eastAsia="uk-UA"/>
        </w:rPr>
      </w:pPr>
      <w:r>
        <w:rPr>
          <w:rFonts w:ascii="Times New Roman" w:hAnsi="Times New Roman"/>
          <w:b/>
          <w:sz w:val="28"/>
          <w:szCs w:val="28"/>
          <w:lang w:eastAsia="uk-UA"/>
        </w:rPr>
        <w:t>проекту регуляторного акту:</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sz w:val="28"/>
          <w:szCs w:val="28"/>
          <w:lang w:eastAsia="uk-UA"/>
        </w:rPr>
        <w:t>рішення Пирятинської міської ради</w:t>
      </w:r>
    </w:p>
    <w:p w:rsidR="00AE2DAF" w:rsidRPr="001B0F50" w:rsidRDefault="00AE2DAF" w:rsidP="00AE2DAF">
      <w:pPr>
        <w:pStyle w:val="a3"/>
        <w:jc w:val="center"/>
        <w:rPr>
          <w:rFonts w:ascii="Times New Roman" w:hAnsi="Times New Roman"/>
          <w:sz w:val="28"/>
          <w:szCs w:val="28"/>
          <w:lang w:eastAsia="uk-UA"/>
        </w:rPr>
      </w:pPr>
      <w:proofErr w:type="spellStart"/>
      <w:r w:rsidRPr="00E10444">
        <w:rPr>
          <w:rFonts w:ascii="Times New Roman" w:hAnsi="Times New Roman"/>
          <w:bCs/>
          <w:sz w:val="28"/>
          <w:szCs w:val="28"/>
        </w:rPr>
        <w:t>„</w:t>
      </w:r>
      <w:r w:rsidRPr="001B0F50">
        <w:rPr>
          <w:rFonts w:ascii="Times New Roman" w:hAnsi="Times New Roman"/>
          <w:sz w:val="28"/>
          <w:szCs w:val="28"/>
          <w:lang w:eastAsia="uk-UA"/>
        </w:rPr>
        <w:t>Про</w:t>
      </w:r>
      <w:proofErr w:type="spellEnd"/>
      <w:r w:rsidRPr="001B0F50">
        <w:rPr>
          <w:rFonts w:ascii="Times New Roman" w:hAnsi="Times New Roman"/>
          <w:sz w:val="28"/>
          <w:szCs w:val="28"/>
          <w:lang w:eastAsia="uk-UA"/>
        </w:rPr>
        <w:t xml:space="preserve"> затвердження Положення про громадські слухання в місті Пирятині</w:t>
      </w:r>
      <w:r w:rsidRPr="00E10444">
        <w:rPr>
          <w:rFonts w:ascii="Times New Roman" w:hAnsi="Times New Roman"/>
          <w:bCs/>
          <w:sz w:val="28"/>
          <w:szCs w:val="28"/>
        </w:rPr>
        <w:t>“</w:t>
      </w:r>
    </w:p>
    <w:p w:rsidR="00AE2DAF" w:rsidRPr="00B855FE" w:rsidRDefault="00AE2DAF" w:rsidP="00AE2DAF">
      <w:pPr>
        <w:shd w:val="clear" w:color="auto" w:fill="FFFFFF"/>
        <w:spacing w:after="150" w:line="288" w:lineRule="atLeast"/>
        <w:jc w:val="both"/>
        <w:rPr>
          <w:rFonts w:ascii="Arial" w:eastAsia="Times New Roman" w:hAnsi="Arial" w:cs="Arial"/>
          <w:color w:val="000000"/>
          <w:sz w:val="18"/>
          <w:szCs w:val="18"/>
          <w:lang w:eastAsia="uk-UA"/>
        </w:rPr>
      </w:pPr>
      <w:r w:rsidRPr="00B855FE">
        <w:rPr>
          <w:rFonts w:ascii="Arial" w:eastAsia="Times New Roman" w:hAnsi="Arial" w:cs="Arial"/>
          <w:color w:val="000000"/>
          <w:sz w:val="18"/>
          <w:szCs w:val="18"/>
          <w:lang w:eastAsia="uk-UA"/>
        </w:rPr>
        <w:t> </w:t>
      </w:r>
    </w:p>
    <w:p w:rsidR="00AE2DAF" w:rsidRPr="001B0F50" w:rsidRDefault="00AE2DAF" w:rsidP="00AE2DAF">
      <w:pPr>
        <w:pStyle w:val="a3"/>
        <w:tabs>
          <w:tab w:val="left" w:pos="709"/>
        </w:tabs>
        <w:jc w:val="both"/>
        <w:rPr>
          <w:rFonts w:ascii="Times New Roman" w:hAnsi="Times New Roman"/>
          <w:sz w:val="28"/>
          <w:szCs w:val="28"/>
          <w:lang w:eastAsia="uk-UA"/>
        </w:rPr>
      </w:pPr>
      <w:r w:rsidRPr="00B855FE">
        <w:rPr>
          <w:lang w:eastAsia="uk-UA"/>
        </w:rPr>
        <w:t xml:space="preserve">     </w:t>
      </w:r>
      <w:r>
        <w:rPr>
          <w:lang w:eastAsia="uk-UA"/>
        </w:rPr>
        <w:tab/>
      </w:r>
      <w:r w:rsidRPr="001B0F50">
        <w:rPr>
          <w:rFonts w:ascii="Times New Roman" w:hAnsi="Times New Roman"/>
          <w:sz w:val="28"/>
          <w:szCs w:val="28"/>
          <w:lang w:eastAsia="uk-UA"/>
        </w:rPr>
        <w:t>Даний аналіз регуляторного впливу розробл</w:t>
      </w:r>
      <w:r>
        <w:rPr>
          <w:rFonts w:ascii="Times New Roman" w:hAnsi="Times New Roman"/>
          <w:sz w:val="28"/>
          <w:szCs w:val="28"/>
          <w:lang w:eastAsia="uk-UA"/>
        </w:rPr>
        <w:t>ений відповідно до статей</w:t>
      </w:r>
      <w:r w:rsidRPr="001B0F50">
        <w:rPr>
          <w:rFonts w:ascii="Times New Roman" w:hAnsi="Times New Roman"/>
          <w:sz w:val="28"/>
          <w:szCs w:val="28"/>
          <w:lang w:eastAsia="uk-UA"/>
        </w:rPr>
        <w:t xml:space="preserve"> 4, 8 Закону України </w:t>
      </w:r>
      <w:proofErr w:type="spellStart"/>
      <w:r w:rsidRPr="00E10444">
        <w:rPr>
          <w:rFonts w:ascii="Times New Roman" w:hAnsi="Times New Roman"/>
          <w:bCs/>
          <w:sz w:val="28"/>
          <w:szCs w:val="28"/>
        </w:rPr>
        <w:t>„</w:t>
      </w:r>
      <w:r w:rsidRPr="001B0F50">
        <w:rPr>
          <w:rFonts w:ascii="Times New Roman" w:hAnsi="Times New Roman"/>
          <w:sz w:val="28"/>
          <w:szCs w:val="28"/>
          <w:lang w:eastAsia="uk-UA"/>
        </w:rPr>
        <w:t>Про</w:t>
      </w:r>
      <w:proofErr w:type="spellEnd"/>
      <w:r w:rsidRPr="001B0F50">
        <w:rPr>
          <w:rFonts w:ascii="Times New Roman" w:hAnsi="Times New Roman"/>
          <w:sz w:val="28"/>
          <w:szCs w:val="28"/>
          <w:lang w:eastAsia="uk-UA"/>
        </w:rPr>
        <w:t xml:space="preserve"> засади регуляторної політики у сфері господарської діяльності</w:t>
      </w:r>
      <w:r w:rsidRPr="00E10444">
        <w:rPr>
          <w:rFonts w:ascii="Times New Roman" w:hAnsi="Times New Roman"/>
          <w:bCs/>
          <w:sz w:val="28"/>
          <w:szCs w:val="28"/>
        </w:rPr>
        <w:t>“</w:t>
      </w:r>
      <w:r w:rsidRPr="001B0F50">
        <w:rPr>
          <w:rFonts w:ascii="Times New Roman" w:hAnsi="Times New Roman"/>
          <w:sz w:val="28"/>
          <w:szCs w:val="28"/>
          <w:lang w:eastAsia="uk-UA"/>
        </w:rPr>
        <w:t>, Методики проведення а</w:t>
      </w:r>
      <w:r>
        <w:rPr>
          <w:rFonts w:ascii="Times New Roman" w:hAnsi="Times New Roman"/>
          <w:sz w:val="28"/>
          <w:szCs w:val="28"/>
          <w:lang w:eastAsia="uk-UA"/>
        </w:rPr>
        <w:t>налізу впливу регуляторного акту</w:t>
      </w:r>
      <w:r w:rsidRPr="001B0F50">
        <w:rPr>
          <w:rFonts w:ascii="Times New Roman" w:hAnsi="Times New Roman"/>
          <w:sz w:val="28"/>
          <w:szCs w:val="28"/>
          <w:lang w:eastAsia="uk-UA"/>
        </w:rPr>
        <w:t xml:space="preserve">, затвердженої Постановою Кабінету Міністрів України від 11.03.2004р. № 308 </w:t>
      </w:r>
      <w:proofErr w:type="spellStart"/>
      <w:r w:rsidRPr="00E10444">
        <w:rPr>
          <w:rFonts w:ascii="Times New Roman" w:hAnsi="Times New Roman"/>
          <w:bCs/>
          <w:sz w:val="28"/>
          <w:szCs w:val="28"/>
        </w:rPr>
        <w:t>„</w:t>
      </w:r>
      <w:r w:rsidRPr="001B0F50">
        <w:rPr>
          <w:rFonts w:ascii="Times New Roman" w:hAnsi="Times New Roman"/>
          <w:sz w:val="28"/>
          <w:szCs w:val="28"/>
          <w:lang w:eastAsia="uk-UA"/>
        </w:rPr>
        <w:t>Про</w:t>
      </w:r>
      <w:proofErr w:type="spellEnd"/>
      <w:r w:rsidRPr="001B0F50">
        <w:rPr>
          <w:rFonts w:ascii="Times New Roman" w:hAnsi="Times New Roman"/>
          <w:sz w:val="28"/>
          <w:szCs w:val="28"/>
          <w:lang w:eastAsia="uk-UA"/>
        </w:rPr>
        <w:t xml:space="preserve"> затвердження методики проведення аналізу впливу та відстеження результативності регуляторного акту</w:t>
      </w:r>
      <w:r w:rsidRPr="00E10444">
        <w:rPr>
          <w:rFonts w:ascii="Times New Roman" w:hAnsi="Times New Roman"/>
          <w:bCs/>
          <w:sz w:val="28"/>
          <w:szCs w:val="28"/>
        </w:rPr>
        <w:t>“</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1. Визначення проблеми, яку передбачається розв'язати</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bdr w:val="none" w:sz="0" w:space="0" w:color="auto" w:frame="1"/>
          <w:lang w:eastAsia="uk-UA"/>
        </w:rPr>
        <w:t>   </w:t>
      </w:r>
      <w:r>
        <w:rPr>
          <w:rFonts w:ascii="Times New Roman" w:hAnsi="Times New Roman"/>
          <w:sz w:val="28"/>
          <w:szCs w:val="28"/>
          <w:bdr w:val="none" w:sz="0" w:space="0" w:color="auto" w:frame="1"/>
          <w:lang w:eastAsia="uk-UA"/>
        </w:rPr>
        <w:tab/>
      </w:r>
      <w:r w:rsidRPr="001B0F50">
        <w:rPr>
          <w:rFonts w:ascii="Times New Roman" w:hAnsi="Times New Roman"/>
          <w:sz w:val="28"/>
          <w:szCs w:val="28"/>
          <w:bdr w:val="none" w:sz="0" w:space="0" w:color="auto" w:frame="1"/>
          <w:lang w:eastAsia="uk-UA"/>
        </w:rPr>
        <w:t xml:space="preserve">Законом України </w:t>
      </w:r>
      <w:proofErr w:type="spellStart"/>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Про</w:t>
      </w:r>
      <w:proofErr w:type="spellEnd"/>
      <w:r w:rsidRPr="001B0F50">
        <w:rPr>
          <w:rFonts w:ascii="Times New Roman" w:hAnsi="Times New Roman"/>
          <w:sz w:val="28"/>
          <w:szCs w:val="28"/>
          <w:bdr w:val="none" w:sz="0" w:space="0" w:color="auto" w:frame="1"/>
          <w:lang w:eastAsia="uk-UA"/>
        </w:rPr>
        <w:t xml:space="preserve"> місцеве самоврядування в Україні</w:t>
      </w:r>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 xml:space="preserve"> передбачено, що члени територіальної громади</w:t>
      </w:r>
      <w:r>
        <w:rPr>
          <w:rFonts w:ascii="Times New Roman" w:hAnsi="Times New Roman"/>
          <w:sz w:val="28"/>
          <w:szCs w:val="28"/>
          <w:bdr w:val="none" w:sz="0" w:space="0" w:color="auto" w:frame="1"/>
          <w:lang w:eastAsia="uk-UA"/>
        </w:rPr>
        <w:t>,</w:t>
      </w:r>
      <w:r w:rsidRPr="001B0F50">
        <w:rPr>
          <w:rFonts w:ascii="Times New Roman" w:hAnsi="Times New Roman"/>
          <w:sz w:val="28"/>
          <w:szCs w:val="28"/>
          <w:bdr w:val="none" w:sz="0" w:space="0" w:color="auto" w:frame="1"/>
          <w:lang w:eastAsia="uk-UA"/>
        </w:rPr>
        <w:t xml:space="preserve"> як основного суб’єкта місцевого самоврядування</w:t>
      </w:r>
      <w:r>
        <w:rPr>
          <w:rFonts w:ascii="Times New Roman" w:hAnsi="Times New Roman"/>
          <w:sz w:val="28"/>
          <w:szCs w:val="28"/>
          <w:bdr w:val="none" w:sz="0" w:space="0" w:color="auto" w:frame="1"/>
          <w:lang w:eastAsia="uk-UA"/>
        </w:rPr>
        <w:t>,</w:t>
      </w:r>
      <w:r w:rsidRPr="001B0F50">
        <w:rPr>
          <w:rFonts w:ascii="Times New Roman" w:hAnsi="Times New Roman"/>
          <w:sz w:val="28"/>
          <w:szCs w:val="28"/>
          <w:bdr w:val="none" w:sz="0" w:space="0" w:color="auto" w:frame="1"/>
          <w:lang w:eastAsia="uk-UA"/>
        </w:rPr>
        <w:t xml:space="preserve"> відповідно до законодавства мають права щодо прийняття участі у діяльності та контролю за органами місцевого самоврядування, однак, на даний час практична реалізація даних прав знаходиться на низькому рівні.</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Так, Законом України </w:t>
      </w:r>
      <w:proofErr w:type="spellStart"/>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Про</w:t>
      </w:r>
      <w:proofErr w:type="spellEnd"/>
      <w:r w:rsidRPr="001B0F50">
        <w:rPr>
          <w:rFonts w:ascii="Times New Roman" w:hAnsi="Times New Roman"/>
          <w:sz w:val="28"/>
          <w:szCs w:val="28"/>
          <w:bdr w:val="none" w:sz="0" w:space="0" w:color="auto" w:frame="1"/>
          <w:lang w:eastAsia="uk-UA"/>
        </w:rPr>
        <w:t xml:space="preserve"> місцеве самоврядування в Україні</w:t>
      </w:r>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 xml:space="preserve"> </w:t>
      </w:r>
      <w:r w:rsidRPr="001B0F50">
        <w:rPr>
          <w:rFonts w:ascii="Times New Roman" w:hAnsi="Times New Roman"/>
          <w:sz w:val="28"/>
          <w:szCs w:val="28"/>
          <w:lang w:eastAsia="uk-UA"/>
        </w:rPr>
        <w:t xml:space="preserve"> встановлено низку норм безпосередньої демократії, зокрема скликання та врахування рішення загальних зборів громадян, організація та проведення громадських слухань, місцевих ініціатив та ін.</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Крім того, вказаним законом встановлено правила щодо здійснення місцевого самоврядування для всіх територіальних громад. Такий підхід не дозволяє враховувати історичні, національно-культурні, соціально-економічні особливості кожної територіальної громади.</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Громадські слухання є формою безпосередньої участі членів територіальної громади у здійсненні місцевого самоврядування, яка передбачена статтею 13 Закону України </w:t>
      </w:r>
      <w:proofErr w:type="spellStart"/>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Про</w:t>
      </w:r>
      <w:proofErr w:type="spellEnd"/>
      <w:r w:rsidRPr="001B0F50">
        <w:rPr>
          <w:rFonts w:ascii="Times New Roman" w:hAnsi="Times New Roman"/>
          <w:sz w:val="28"/>
          <w:szCs w:val="28"/>
          <w:bdr w:val="none" w:sz="0" w:space="0" w:color="auto" w:frame="1"/>
          <w:lang w:eastAsia="uk-UA"/>
        </w:rPr>
        <w:t xml:space="preserve"> місцеве самоврядування в Україні</w:t>
      </w:r>
      <w:r w:rsidRPr="00E10444">
        <w:rPr>
          <w:rFonts w:ascii="Times New Roman" w:hAnsi="Times New Roman"/>
          <w:bCs/>
          <w:sz w:val="28"/>
          <w:szCs w:val="28"/>
        </w:rPr>
        <w:t>“</w:t>
      </w:r>
      <w:r w:rsidRPr="001B0F50">
        <w:rPr>
          <w:rFonts w:ascii="Times New Roman" w:hAnsi="Times New Roman"/>
          <w:sz w:val="28"/>
          <w:szCs w:val="28"/>
          <w:lang w:eastAsia="uk-UA"/>
        </w:rPr>
        <w:t>.</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2. Цілі державного регулювання</w:t>
      </w:r>
    </w:p>
    <w:p w:rsidR="00AE2DAF"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Закріплення норм, встановлених Конституцією, законами України, Європейською хартією місцевого самоврядування, встановлення порядку їх виконання, вираження власної думки членів територіальної громади</w:t>
      </w:r>
      <w:r>
        <w:rPr>
          <w:rFonts w:ascii="Times New Roman" w:hAnsi="Times New Roman"/>
          <w:sz w:val="28"/>
          <w:szCs w:val="28"/>
          <w:lang w:eastAsia="uk-UA"/>
        </w:rPr>
        <w:t xml:space="preserve"> п</w:t>
      </w:r>
      <w:r w:rsidRPr="001B0F50">
        <w:rPr>
          <w:rFonts w:ascii="Times New Roman" w:hAnsi="Times New Roman"/>
          <w:sz w:val="28"/>
          <w:szCs w:val="28"/>
          <w:lang w:eastAsia="uk-UA"/>
        </w:rPr>
        <w:t>ропонується</w:t>
      </w:r>
      <w:r>
        <w:rPr>
          <w:rFonts w:ascii="Times New Roman" w:hAnsi="Times New Roman"/>
          <w:sz w:val="28"/>
          <w:szCs w:val="28"/>
          <w:lang w:eastAsia="uk-UA"/>
        </w:rPr>
        <w:t xml:space="preserve"> вирішити  шляхом затвердження П</w:t>
      </w:r>
      <w:r w:rsidRPr="001B0F50">
        <w:rPr>
          <w:rFonts w:ascii="Times New Roman" w:hAnsi="Times New Roman"/>
          <w:sz w:val="28"/>
          <w:szCs w:val="28"/>
          <w:lang w:eastAsia="uk-UA"/>
        </w:rPr>
        <w:t xml:space="preserve">оложення про громадські слухання в місті </w:t>
      </w:r>
      <w:r>
        <w:rPr>
          <w:rFonts w:ascii="Times New Roman" w:hAnsi="Times New Roman"/>
          <w:sz w:val="28"/>
          <w:szCs w:val="28"/>
          <w:lang w:eastAsia="uk-UA"/>
        </w:rPr>
        <w:t>Пирятині</w:t>
      </w:r>
      <w:r w:rsidRPr="001B0F50">
        <w:rPr>
          <w:rFonts w:ascii="Times New Roman" w:hAnsi="Times New Roman"/>
          <w:sz w:val="28"/>
          <w:szCs w:val="28"/>
          <w:lang w:eastAsia="uk-UA"/>
        </w:rPr>
        <w:t>.</w:t>
      </w:r>
    </w:p>
    <w:p w:rsidR="00AE2DAF" w:rsidRPr="001B0F50" w:rsidRDefault="00AE2DAF" w:rsidP="00AE2DAF">
      <w:pPr>
        <w:pStyle w:val="a3"/>
        <w:jc w:val="both"/>
        <w:rPr>
          <w:rFonts w:ascii="Times New Roman" w:hAnsi="Times New Roman"/>
          <w:sz w:val="28"/>
          <w:szCs w:val="28"/>
          <w:lang w:eastAsia="uk-UA"/>
        </w:rPr>
      </w:pP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3. Альтернативні способи досягнення встановлених цілей</w:t>
      </w:r>
    </w:p>
    <w:p w:rsidR="00AE2DAF"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Альтернативою є прийняття рішення міської ради для врегулювання важливих питань територіальної громади. </w:t>
      </w:r>
    </w:p>
    <w:p w:rsidR="00AE2DAF" w:rsidRPr="001B0F50" w:rsidRDefault="00AE2DAF" w:rsidP="00AE2DAF">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Даний спосіб не є ефективним з декількох причин:</w:t>
      </w:r>
    </w:p>
    <w:p w:rsidR="00AE2DAF" w:rsidRPr="001B0F50" w:rsidRDefault="00AE2DAF" w:rsidP="00AE2DAF">
      <w:pPr>
        <w:pStyle w:val="a3"/>
        <w:ind w:firstLine="708"/>
        <w:jc w:val="both"/>
        <w:rPr>
          <w:rFonts w:ascii="Times New Roman" w:hAnsi="Times New Roman"/>
          <w:sz w:val="28"/>
          <w:szCs w:val="28"/>
          <w:lang w:eastAsia="uk-UA"/>
        </w:rPr>
      </w:pPr>
      <w:r>
        <w:rPr>
          <w:rFonts w:ascii="Times New Roman" w:hAnsi="Times New Roman"/>
          <w:sz w:val="28"/>
          <w:szCs w:val="28"/>
          <w:lang w:eastAsia="uk-UA"/>
        </w:rPr>
        <w:t>з</w:t>
      </w:r>
      <w:r w:rsidRPr="001B0F50">
        <w:rPr>
          <w:rFonts w:ascii="Times New Roman" w:hAnsi="Times New Roman"/>
          <w:sz w:val="28"/>
          <w:szCs w:val="28"/>
          <w:lang w:eastAsia="uk-UA"/>
        </w:rPr>
        <w:t xml:space="preserve">аконом України </w:t>
      </w:r>
      <w:proofErr w:type="spellStart"/>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Про</w:t>
      </w:r>
      <w:proofErr w:type="spellEnd"/>
      <w:r w:rsidRPr="001B0F50">
        <w:rPr>
          <w:rFonts w:ascii="Times New Roman" w:hAnsi="Times New Roman"/>
          <w:sz w:val="28"/>
          <w:szCs w:val="28"/>
          <w:bdr w:val="none" w:sz="0" w:space="0" w:color="auto" w:frame="1"/>
          <w:lang w:eastAsia="uk-UA"/>
        </w:rPr>
        <w:t xml:space="preserve"> місцеве самоврядування в Україні</w:t>
      </w:r>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 xml:space="preserve"> </w:t>
      </w:r>
      <w:r w:rsidRPr="001B0F50">
        <w:rPr>
          <w:rFonts w:ascii="Times New Roman" w:hAnsi="Times New Roman"/>
          <w:sz w:val="28"/>
          <w:szCs w:val="28"/>
          <w:lang w:eastAsia="uk-UA"/>
        </w:rPr>
        <w:t xml:space="preserve"> прямо встановлюється, що визначення, зокрема проведення громадських слухань, загальних зборів громадян, внесення місцевих ініціатив встановлюється Статутом територіальної громади;</w:t>
      </w:r>
    </w:p>
    <w:p w:rsidR="00AE2DAF" w:rsidRPr="001B0F50" w:rsidRDefault="00AE2DAF" w:rsidP="00AE2DAF">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lastRenderedPageBreak/>
        <w:t>вирішення важливих для міста питань шляхом прийняття різних рішень міської ради значно ускладнює інформованість членів територіальної громади стосовно їх прав у здійсненні місцевого самоврядування;</w:t>
      </w:r>
    </w:p>
    <w:p w:rsidR="00AE2DAF" w:rsidRPr="001B0F50" w:rsidRDefault="00AE2DAF" w:rsidP="00AE2DAF">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 xml:space="preserve">сукупність рішень міської ради за своєю суттю не можуть врахувати та систематизувати історичні, національно-культурні, соціально-економічні та інші особливості здійснення місцевого самоврядування на території </w:t>
      </w:r>
      <w:r>
        <w:rPr>
          <w:rFonts w:ascii="Times New Roman" w:hAnsi="Times New Roman"/>
          <w:sz w:val="28"/>
          <w:szCs w:val="28"/>
          <w:lang w:eastAsia="uk-UA"/>
        </w:rPr>
        <w:t>Пирятинської</w:t>
      </w:r>
      <w:r w:rsidRPr="001B0F50">
        <w:rPr>
          <w:rFonts w:ascii="Times New Roman" w:hAnsi="Times New Roman"/>
          <w:sz w:val="28"/>
          <w:szCs w:val="28"/>
          <w:lang w:eastAsia="uk-UA"/>
        </w:rPr>
        <w:t xml:space="preserve"> міської ради</w:t>
      </w:r>
    </w:p>
    <w:p w:rsidR="00AE2DAF" w:rsidRDefault="00AE2DAF" w:rsidP="00AE2DAF">
      <w:pPr>
        <w:pStyle w:val="a3"/>
        <w:jc w:val="both"/>
        <w:rPr>
          <w:rFonts w:ascii="Times New Roman" w:hAnsi="Times New Roman"/>
          <w:b/>
          <w:bCs/>
          <w:sz w:val="28"/>
          <w:szCs w:val="28"/>
          <w:lang w:eastAsia="uk-UA"/>
        </w:rPr>
      </w:pPr>
      <w:r w:rsidRPr="001B0F50">
        <w:rPr>
          <w:rFonts w:ascii="Times New Roman" w:hAnsi="Times New Roman"/>
          <w:b/>
          <w:bCs/>
          <w:sz w:val="28"/>
          <w:szCs w:val="28"/>
          <w:lang w:eastAsia="uk-UA"/>
        </w:rPr>
        <w:t xml:space="preserve">    </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4. Механізм, який пропонується застосувати для роз’яснення проблеми, відповідні заходи</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Метою громадських слухань є надання членам територіальної громади міста </w:t>
      </w:r>
      <w:r>
        <w:rPr>
          <w:rFonts w:ascii="Times New Roman" w:hAnsi="Times New Roman"/>
          <w:sz w:val="28"/>
          <w:szCs w:val="28"/>
          <w:lang w:eastAsia="uk-UA"/>
        </w:rPr>
        <w:t xml:space="preserve">Пирятина </w:t>
      </w:r>
      <w:r w:rsidRPr="001B0F50">
        <w:rPr>
          <w:rFonts w:ascii="Times New Roman" w:hAnsi="Times New Roman"/>
          <w:sz w:val="28"/>
          <w:szCs w:val="28"/>
          <w:lang w:eastAsia="uk-UA"/>
        </w:rPr>
        <w:t xml:space="preserve">інформації про роботу органів та посадових осіб місцевого самоврядування, створення можливості брати участь у обговоренні проблем життєзабезпечення та розвитку територіальної громади міста </w:t>
      </w:r>
      <w:r>
        <w:rPr>
          <w:rFonts w:ascii="Times New Roman" w:hAnsi="Times New Roman"/>
          <w:sz w:val="28"/>
          <w:szCs w:val="28"/>
          <w:lang w:eastAsia="uk-UA"/>
        </w:rPr>
        <w:t>Пирятина</w:t>
      </w:r>
      <w:r w:rsidRPr="001B0F50">
        <w:rPr>
          <w:rFonts w:ascii="Times New Roman" w:hAnsi="Times New Roman"/>
          <w:sz w:val="28"/>
          <w:szCs w:val="28"/>
          <w:lang w:eastAsia="uk-UA"/>
        </w:rPr>
        <w:t>, ініціюванні та підготовці рішень щодо них.</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Положенням регулюються права членів територіальної громади на проведення громадських слухань, загальних зборів громадян, внесення місцевих ініціатив та встановлюється порядок їх реалізації.</w:t>
      </w:r>
    </w:p>
    <w:p w:rsidR="00AE2DAF" w:rsidRPr="001B0F50"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Прийняття положення про громадські слухання встановить чіткі вимоги по механізму участі членів територіальної громади у вирішенні важливих для міста питань та визначить особливості здійснення місцевого самоврядування на території </w:t>
      </w:r>
      <w:r>
        <w:rPr>
          <w:rFonts w:ascii="Times New Roman" w:hAnsi="Times New Roman"/>
          <w:sz w:val="28"/>
          <w:szCs w:val="28"/>
          <w:lang w:eastAsia="uk-UA"/>
        </w:rPr>
        <w:t>Пирятинської міської ради</w:t>
      </w:r>
      <w:r w:rsidRPr="001B0F50">
        <w:rPr>
          <w:rFonts w:ascii="Times New Roman" w:hAnsi="Times New Roman"/>
          <w:sz w:val="28"/>
          <w:szCs w:val="28"/>
          <w:lang w:eastAsia="uk-UA"/>
        </w:rPr>
        <w:t>.</w:t>
      </w:r>
    </w:p>
    <w:p w:rsidR="00AE2DAF" w:rsidRDefault="00AE2DAF" w:rsidP="00AE2DAF">
      <w:pPr>
        <w:pStyle w:val="a3"/>
        <w:jc w:val="both"/>
        <w:rPr>
          <w:rFonts w:ascii="Times New Roman" w:hAnsi="Times New Roman"/>
          <w:b/>
          <w:bCs/>
          <w:sz w:val="28"/>
          <w:szCs w:val="28"/>
          <w:lang w:eastAsia="uk-UA"/>
        </w:rPr>
      </w:pPr>
      <w:r w:rsidRPr="001B0F50">
        <w:rPr>
          <w:rFonts w:ascii="Times New Roman" w:hAnsi="Times New Roman"/>
          <w:b/>
          <w:bCs/>
          <w:sz w:val="28"/>
          <w:szCs w:val="28"/>
          <w:lang w:eastAsia="uk-UA"/>
        </w:rPr>
        <w:t xml:space="preserve">     </w:t>
      </w:r>
    </w:p>
    <w:p w:rsidR="00AE2DAF" w:rsidRDefault="00AE2DAF" w:rsidP="00AE2DAF">
      <w:pPr>
        <w:pStyle w:val="a3"/>
        <w:jc w:val="center"/>
        <w:rPr>
          <w:rFonts w:ascii="Times New Roman" w:hAnsi="Times New Roman"/>
          <w:b/>
          <w:bCs/>
          <w:sz w:val="28"/>
          <w:szCs w:val="28"/>
          <w:lang w:eastAsia="uk-UA"/>
        </w:rPr>
      </w:pPr>
      <w:r w:rsidRPr="001B0F50">
        <w:rPr>
          <w:rFonts w:ascii="Times New Roman" w:hAnsi="Times New Roman"/>
          <w:b/>
          <w:bCs/>
          <w:sz w:val="28"/>
          <w:szCs w:val="28"/>
          <w:lang w:eastAsia="uk-UA"/>
        </w:rPr>
        <w:t xml:space="preserve">5. Обґрунтування можливості досягнення встановлених  цілей </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у разі прийняття регуляторного акт</w:t>
      </w:r>
      <w:r>
        <w:rPr>
          <w:rFonts w:ascii="Times New Roman" w:hAnsi="Times New Roman"/>
          <w:b/>
          <w:bCs/>
          <w:sz w:val="28"/>
          <w:szCs w:val="28"/>
          <w:lang w:eastAsia="uk-UA"/>
        </w:rPr>
        <w:t>у</w:t>
      </w:r>
    </w:p>
    <w:p w:rsidR="00AE2DAF"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Досягнення цілей, поставлених розробниками</w:t>
      </w:r>
      <w:r>
        <w:rPr>
          <w:rFonts w:ascii="Times New Roman" w:hAnsi="Times New Roman"/>
          <w:sz w:val="28"/>
          <w:szCs w:val="28"/>
          <w:lang w:eastAsia="uk-UA"/>
        </w:rPr>
        <w:t>,</w:t>
      </w:r>
      <w:r w:rsidRPr="001B0F50">
        <w:rPr>
          <w:rFonts w:ascii="Times New Roman" w:hAnsi="Times New Roman"/>
          <w:sz w:val="28"/>
          <w:szCs w:val="28"/>
          <w:lang w:eastAsia="uk-UA"/>
        </w:rPr>
        <w:t xml:space="preserve"> пропонується вирішити шляхом обов’язковості виконанням положення про громадські слухання всіма членами територіальної громади та органами владних повноважень. </w:t>
      </w:r>
    </w:p>
    <w:p w:rsidR="00AE2DAF" w:rsidRPr="001B0F50" w:rsidRDefault="00AE2DAF" w:rsidP="00AE2DAF">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Також пропонується проведення широкої інформаційної кампанії щодо роз’яснення змісту положення та інформування мешканців міста.</w:t>
      </w:r>
    </w:p>
    <w:p w:rsidR="00AE2DAF"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w:t>
      </w:r>
    </w:p>
    <w:p w:rsidR="00AE2DAF" w:rsidRPr="001B0F50" w:rsidRDefault="00AE2DAF" w:rsidP="00AE2DAF">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6. Очікувані результати прийняття акт</w:t>
      </w:r>
      <w:r>
        <w:rPr>
          <w:rFonts w:ascii="Times New Roman" w:hAnsi="Times New Roman"/>
          <w:b/>
          <w:bCs/>
          <w:sz w:val="28"/>
          <w:szCs w:val="28"/>
          <w:lang w:eastAsia="uk-UA"/>
        </w:rPr>
        <w:t>у</w:t>
      </w:r>
    </w:p>
    <w:p w:rsidR="00AE2DAF" w:rsidRDefault="00AE2DAF" w:rsidP="00AE2DAF">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Дія зазначеного регуляторного акту поширюється на представників органів виконавчої влади та місцевого самоврядування, представників партій, рухів, професійних і творчих спілок, органів самоорганізації населення, релігійних організацій та інших неприбуткових організацій громадянського суспільства, що діють на території міста, представників підприємств, установ та організацій, що розташовані на території міста, осіб, які зареєстровані та постійно мешкають на території міста </w:t>
      </w:r>
      <w:r>
        <w:rPr>
          <w:rFonts w:ascii="Times New Roman" w:hAnsi="Times New Roman"/>
          <w:sz w:val="28"/>
          <w:szCs w:val="28"/>
          <w:lang w:eastAsia="uk-UA"/>
        </w:rPr>
        <w:t>Пирятина.</w:t>
      </w:r>
      <w:r w:rsidRPr="001B0F50">
        <w:rPr>
          <w:rFonts w:ascii="Times New Roman" w:hAnsi="Times New Roman"/>
          <w:sz w:val="28"/>
          <w:szCs w:val="28"/>
          <w:lang w:eastAsia="uk-UA"/>
        </w:rPr>
        <w:t xml:space="preserve"> </w:t>
      </w:r>
    </w:p>
    <w:p w:rsidR="00AE2DAF" w:rsidRDefault="00AE2DAF" w:rsidP="00AE2DAF">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Для визначення очікуваних результатів прийняття за</w:t>
      </w:r>
      <w:r>
        <w:rPr>
          <w:rFonts w:ascii="Times New Roman" w:hAnsi="Times New Roman"/>
          <w:sz w:val="28"/>
          <w:szCs w:val="28"/>
          <w:lang w:eastAsia="uk-UA"/>
        </w:rPr>
        <w:t>пропонованого регуляторного акту</w:t>
      </w:r>
      <w:r w:rsidRPr="001B0F50">
        <w:rPr>
          <w:rFonts w:ascii="Times New Roman" w:hAnsi="Times New Roman"/>
          <w:sz w:val="28"/>
          <w:szCs w:val="28"/>
          <w:lang w:eastAsia="uk-UA"/>
        </w:rPr>
        <w:t xml:space="preserve">, які виникають у різних груп суб’єктів, на яких поширюється дія </w:t>
      </w:r>
      <w:r>
        <w:rPr>
          <w:rFonts w:ascii="Times New Roman" w:hAnsi="Times New Roman"/>
          <w:sz w:val="28"/>
          <w:szCs w:val="28"/>
          <w:lang w:eastAsia="uk-UA"/>
        </w:rPr>
        <w:t>акту</w:t>
      </w:r>
      <w:r w:rsidRPr="001B0F50">
        <w:rPr>
          <w:rFonts w:ascii="Times New Roman" w:hAnsi="Times New Roman"/>
          <w:sz w:val="28"/>
          <w:szCs w:val="28"/>
          <w:lang w:eastAsia="uk-UA"/>
        </w:rPr>
        <w:t xml:space="preserve">, наведена </w:t>
      </w:r>
      <w:r>
        <w:rPr>
          <w:rFonts w:ascii="Times New Roman" w:hAnsi="Times New Roman"/>
          <w:sz w:val="28"/>
          <w:szCs w:val="28"/>
          <w:lang w:eastAsia="uk-UA"/>
        </w:rPr>
        <w:t>таблиця аналізу вигод та витрат:</w:t>
      </w:r>
    </w:p>
    <w:p w:rsidR="00AE2DAF" w:rsidRDefault="00AE2DAF" w:rsidP="00AE2DAF">
      <w:pPr>
        <w:pStyle w:val="a3"/>
        <w:ind w:firstLine="708"/>
        <w:jc w:val="both"/>
        <w:rPr>
          <w:rFonts w:ascii="Times New Roman" w:hAnsi="Times New Roman"/>
          <w:sz w:val="28"/>
          <w:szCs w:val="28"/>
          <w:lang w:eastAsia="uk-UA"/>
        </w:rPr>
      </w:pPr>
    </w:p>
    <w:p w:rsidR="00AE2DAF" w:rsidRDefault="00AE2DAF" w:rsidP="00AE2DAF">
      <w:pPr>
        <w:pStyle w:val="a3"/>
        <w:ind w:firstLine="708"/>
        <w:jc w:val="both"/>
        <w:rPr>
          <w:rFonts w:ascii="Times New Roman" w:hAnsi="Times New Roman"/>
          <w:sz w:val="28"/>
          <w:szCs w:val="28"/>
          <w:lang w:eastAsia="uk-UA"/>
        </w:rPr>
      </w:pPr>
    </w:p>
    <w:p w:rsidR="00AE2DAF" w:rsidRDefault="00AE2DAF" w:rsidP="00AE2DAF">
      <w:pPr>
        <w:pStyle w:val="a3"/>
        <w:ind w:firstLine="708"/>
        <w:jc w:val="both"/>
        <w:rPr>
          <w:rFonts w:ascii="Times New Roman" w:hAnsi="Times New Roman"/>
          <w:sz w:val="28"/>
          <w:szCs w:val="28"/>
          <w:lang w:eastAsia="uk-UA"/>
        </w:rPr>
      </w:pPr>
    </w:p>
    <w:p w:rsidR="00AE2DAF" w:rsidRDefault="00AE2DAF" w:rsidP="00AE2DAF">
      <w:pPr>
        <w:pStyle w:val="a3"/>
        <w:ind w:firstLine="708"/>
        <w:jc w:val="both"/>
        <w:rPr>
          <w:rFonts w:ascii="Times New Roman" w:hAnsi="Times New Roman"/>
          <w:sz w:val="28"/>
          <w:szCs w:val="28"/>
          <w:lang w:eastAsia="uk-UA"/>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7"/>
        <w:gridCol w:w="3835"/>
        <w:gridCol w:w="3835"/>
      </w:tblGrid>
      <w:tr w:rsidR="00AE2DAF" w:rsidRPr="00BB4646" w:rsidTr="00B92D00">
        <w:tc>
          <w:tcPr>
            <w:tcW w:w="1086"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lastRenderedPageBreak/>
              <w:t>Сфера впливу</w:t>
            </w:r>
          </w:p>
          <w:p w:rsidR="00AE2DAF" w:rsidRPr="00AE2DAF" w:rsidRDefault="00AE2DAF" w:rsidP="00B92D00">
            <w:pPr>
              <w:pStyle w:val="a3"/>
              <w:jc w:val="center"/>
              <w:rPr>
                <w:rFonts w:ascii="Times New Roman" w:hAnsi="Times New Roman"/>
                <w:sz w:val="28"/>
                <w:szCs w:val="28"/>
                <w:lang w:eastAsia="uk-UA"/>
              </w:rPr>
            </w:pP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Вигоди</w:t>
            </w: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Витрати</w:t>
            </w:r>
          </w:p>
          <w:p w:rsidR="00AE2DAF" w:rsidRPr="00AE2DAF" w:rsidRDefault="00AE2DAF" w:rsidP="00B92D00">
            <w:pPr>
              <w:pStyle w:val="a3"/>
              <w:jc w:val="center"/>
              <w:rPr>
                <w:rFonts w:ascii="Times New Roman" w:hAnsi="Times New Roman"/>
                <w:sz w:val="28"/>
                <w:szCs w:val="28"/>
                <w:lang w:eastAsia="uk-UA"/>
              </w:rPr>
            </w:pPr>
          </w:p>
        </w:tc>
      </w:tr>
      <w:tr w:rsidR="00AE2DAF" w:rsidRPr="00BB4646" w:rsidTr="00B92D00">
        <w:tc>
          <w:tcPr>
            <w:tcW w:w="1086"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 xml:space="preserve">Члени </w:t>
            </w:r>
          </w:p>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 xml:space="preserve">територіальної </w:t>
            </w:r>
          </w:p>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громади</w:t>
            </w: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Одержання можливості активно впливати та брати участь у вирішенні міських проблем, можливість отримати певні важелі щодо рівноправної, партнерської ролі у місцевому самоврядуванні; інструмент розвитку і формування власне самої громади</w:t>
            </w: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Витрати робочого часу, пов’язані з підготовкою та виконанням вимог регуляторного акту</w:t>
            </w:r>
          </w:p>
          <w:p w:rsidR="00AE2DAF" w:rsidRPr="00AE2DAF" w:rsidRDefault="00AE2DAF" w:rsidP="00B92D00">
            <w:pPr>
              <w:pStyle w:val="a3"/>
              <w:jc w:val="center"/>
              <w:rPr>
                <w:rFonts w:ascii="Times New Roman" w:hAnsi="Times New Roman"/>
                <w:sz w:val="28"/>
                <w:szCs w:val="28"/>
                <w:lang w:eastAsia="uk-UA"/>
              </w:rPr>
            </w:pPr>
          </w:p>
        </w:tc>
      </w:tr>
      <w:tr w:rsidR="00AE2DAF" w:rsidRPr="00BB4646" w:rsidTr="00B92D00">
        <w:tc>
          <w:tcPr>
            <w:tcW w:w="1086"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Органи місцевого самоврядування</w:t>
            </w: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Можливість реальної кооперації у вирішенні міських проблем, передача частини повноважень і відповідальності іншим суб’єктам самоврядування міської громади за їх розв’язання</w:t>
            </w:r>
          </w:p>
          <w:p w:rsidR="00AE2DAF" w:rsidRPr="00AE2DAF" w:rsidRDefault="00AE2DAF" w:rsidP="00B92D00">
            <w:pPr>
              <w:pStyle w:val="a3"/>
              <w:jc w:val="center"/>
              <w:rPr>
                <w:rFonts w:ascii="Times New Roman" w:hAnsi="Times New Roman"/>
                <w:sz w:val="28"/>
                <w:szCs w:val="28"/>
                <w:lang w:eastAsia="uk-UA"/>
              </w:rPr>
            </w:pPr>
          </w:p>
        </w:tc>
        <w:tc>
          <w:tcPr>
            <w:tcW w:w="1957" w:type="pct"/>
            <w:shd w:val="clear" w:color="auto" w:fill="FFFFFF"/>
            <w:hideMark/>
          </w:tcPr>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 xml:space="preserve">Витрати на розповсюдження та тиражування оголошень, прийнятого рішення, витрати робочого часу, </w:t>
            </w:r>
          </w:p>
          <w:p w:rsidR="00AE2DAF" w:rsidRPr="00AE2DAF" w:rsidRDefault="00AE2DAF" w:rsidP="00B92D00">
            <w:pPr>
              <w:pStyle w:val="a3"/>
              <w:jc w:val="center"/>
              <w:rPr>
                <w:rFonts w:ascii="Times New Roman" w:hAnsi="Times New Roman"/>
                <w:sz w:val="28"/>
                <w:szCs w:val="28"/>
                <w:lang w:eastAsia="uk-UA"/>
              </w:rPr>
            </w:pPr>
            <w:r w:rsidRPr="00AE2DAF">
              <w:rPr>
                <w:rFonts w:ascii="Times New Roman" w:hAnsi="Times New Roman"/>
                <w:sz w:val="28"/>
                <w:szCs w:val="28"/>
                <w:lang w:eastAsia="uk-UA"/>
              </w:rPr>
              <w:t>пов’язані з підготовкою та проведенням громадських слухань</w:t>
            </w:r>
          </w:p>
          <w:p w:rsidR="00AE2DAF" w:rsidRPr="00AE2DAF" w:rsidRDefault="00AE2DAF" w:rsidP="00B92D00">
            <w:pPr>
              <w:pStyle w:val="a3"/>
              <w:jc w:val="center"/>
              <w:rPr>
                <w:rFonts w:ascii="Times New Roman" w:hAnsi="Times New Roman"/>
                <w:sz w:val="28"/>
                <w:szCs w:val="28"/>
                <w:lang w:eastAsia="uk-UA"/>
              </w:rPr>
            </w:pPr>
          </w:p>
        </w:tc>
      </w:tr>
    </w:tbl>
    <w:p w:rsidR="00AE2DAF" w:rsidRPr="00B855FE" w:rsidRDefault="00AE2DAF" w:rsidP="00AE2DAF">
      <w:pPr>
        <w:shd w:val="clear" w:color="auto" w:fill="FFFFFF"/>
        <w:spacing w:after="150" w:line="288" w:lineRule="atLeast"/>
        <w:jc w:val="both"/>
        <w:rPr>
          <w:rFonts w:ascii="Arial" w:eastAsia="Times New Roman" w:hAnsi="Arial" w:cs="Arial"/>
          <w:color w:val="000000"/>
          <w:sz w:val="18"/>
          <w:szCs w:val="18"/>
          <w:lang w:eastAsia="uk-UA"/>
        </w:rPr>
      </w:pPr>
      <w:r w:rsidRPr="00B855FE">
        <w:rPr>
          <w:rFonts w:ascii="Arial" w:eastAsia="Times New Roman" w:hAnsi="Arial" w:cs="Arial"/>
          <w:color w:val="000000"/>
          <w:sz w:val="18"/>
          <w:szCs w:val="18"/>
          <w:lang w:eastAsia="uk-UA"/>
        </w:rPr>
        <w:t> </w:t>
      </w:r>
    </w:p>
    <w:p w:rsidR="00AE2DAF" w:rsidRPr="00BB4646" w:rsidRDefault="00AE2DAF" w:rsidP="00AE2DAF">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7.  Визначенн</w:t>
      </w:r>
      <w:r>
        <w:rPr>
          <w:rFonts w:ascii="Times New Roman" w:hAnsi="Times New Roman"/>
          <w:b/>
          <w:sz w:val="28"/>
          <w:szCs w:val="28"/>
          <w:lang w:eastAsia="uk-UA"/>
        </w:rPr>
        <w:t>я строку дії регуляторного акту</w:t>
      </w:r>
    </w:p>
    <w:p w:rsidR="00AE2DAF" w:rsidRPr="00BB4646" w:rsidRDefault="00AE2DAF" w:rsidP="00AE2DAF">
      <w:pPr>
        <w:pStyle w:val="a3"/>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Ді</w:t>
      </w:r>
      <w:r>
        <w:rPr>
          <w:rFonts w:ascii="Times New Roman" w:hAnsi="Times New Roman"/>
          <w:sz w:val="28"/>
          <w:szCs w:val="28"/>
          <w:lang w:eastAsia="uk-UA"/>
        </w:rPr>
        <w:t>я зазначеного регуляторного акту</w:t>
      </w:r>
      <w:r w:rsidRPr="00BB4646">
        <w:rPr>
          <w:rFonts w:ascii="Times New Roman" w:hAnsi="Times New Roman"/>
          <w:sz w:val="28"/>
          <w:szCs w:val="28"/>
          <w:lang w:eastAsia="uk-UA"/>
        </w:rPr>
        <w:t xml:space="preserve"> – постійно.</w:t>
      </w:r>
    </w:p>
    <w:p w:rsidR="00AE2DAF" w:rsidRPr="00BB4646" w:rsidRDefault="00AE2DAF" w:rsidP="00AE2DAF">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 xml:space="preserve">До чинного положення про громадські слухання в  місті </w:t>
      </w:r>
      <w:r>
        <w:rPr>
          <w:rFonts w:ascii="Times New Roman" w:hAnsi="Times New Roman"/>
          <w:sz w:val="28"/>
          <w:szCs w:val="28"/>
          <w:lang w:eastAsia="uk-UA"/>
        </w:rPr>
        <w:t xml:space="preserve">Пирятині </w:t>
      </w:r>
      <w:r w:rsidRPr="00BB4646">
        <w:rPr>
          <w:rFonts w:ascii="Times New Roman" w:hAnsi="Times New Roman"/>
          <w:sz w:val="28"/>
          <w:szCs w:val="28"/>
          <w:lang w:eastAsia="uk-UA"/>
        </w:rPr>
        <w:t xml:space="preserve">протягом його дії можливе внесення змін та доповнень рішенням сесії </w:t>
      </w:r>
      <w:r>
        <w:rPr>
          <w:rFonts w:ascii="Times New Roman" w:hAnsi="Times New Roman"/>
          <w:sz w:val="28"/>
          <w:szCs w:val="28"/>
          <w:lang w:eastAsia="uk-UA"/>
        </w:rPr>
        <w:t>Пирятинської</w:t>
      </w:r>
      <w:r w:rsidRPr="00BB4646">
        <w:rPr>
          <w:rFonts w:ascii="Times New Roman" w:hAnsi="Times New Roman"/>
          <w:sz w:val="28"/>
          <w:szCs w:val="28"/>
          <w:lang w:eastAsia="uk-UA"/>
        </w:rPr>
        <w:t xml:space="preserve"> міської  ради.</w:t>
      </w:r>
    </w:p>
    <w:p w:rsidR="00AE2DAF" w:rsidRDefault="00AE2DAF" w:rsidP="00AE2DAF">
      <w:pPr>
        <w:pStyle w:val="a3"/>
        <w:rPr>
          <w:rFonts w:ascii="Times New Roman" w:hAnsi="Times New Roman"/>
          <w:sz w:val="28"/>
          <w:szCs w:val="28"/>
          <w:lang w:eastAsia="uk-UA"/>
        </w:rPr>
      </w:pPr>
      <w:r w:rsidRPr="00BB4646">
        <w:rPr>
          <w:rFonts w:ascii="Times New Roman" w:hAnsi="Times New Roman"/>
          <w:sz w:val="28"/>
          <w:szCs w:val="28"/>
          <w:lang w:eastAsia="uk-UA"/>
        </w:rPr>
        <w:t>  </w:t>
      </w:r>
    </w:p>
    <w:p w:rsidR="00AE2DAF" w:rsidRPr="00BB4646" w:rsidRDefault="00AE2DAF" w:rsidP="00AE2DAF">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8. Визначення п</w:t>
      </w:r>
      <w:r>
        <w:rPr>
          <w:rFonts w:ascii="Times New Roman" w:hAnsi="Times New Roman"/>
          <w:b/>
          <w:sz w:val="28"/>
          <w:szCs w:val="28"/>
          <w:lang w:eastAsia="uk-UA"/>
        </w:rPr>
        <w:t>оказників результативності акту</w:t>
      </w:r>
    </w:p>
    <w:p w:rsidR="00AE2DAF" w:rsidRPr="00BB4646" w:rsidRDefault="00AE2DAF" w:rsidP="00AE2DAF">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Для визначення результативності цього регуляторного акту пропонується встановити наступні загальні показники:</w:t>
      </w:r>
    </w:p>
    <w:p w:rsidR="00AE2DAF" w:rsidRPr="00BB4646" w:rsidRDefault="00AE2DAF" w:rsidP="00AE2DAF">
      <w:pPr>
        <w:pStyle w:val="a3"/>
        <w:ind w:firstLine="708"/>
        <w:rPr>
          <w:rFonts w:ascii="Times New Roman" w:hAnsi="Times New Roman"/>
          <w:sz w:val="28"/>
          <w:szCs w:val="28"/>
          <w:lang w:eastAsia="uk-UA"/>
        </w:rPr>
      </w:pPr>
      <w:r w:rsidRPr="00BB4646">
        <w:rPr>
          <w:rFonts w:ascii="Times New Roman" w:hAnsi="Times New Roman"/>
          <w:sz w:val="28"/>
          <w:szCs w:val="28"/>
          <w:lang w:eastAsia="uk-UA"/>
        </w:rPr>
        <w:t>кількість проведених зборів в трудових колективах;</w:t>
      </w:r>
    </w:p>
    <w:p w:rsidR="00AE2DAF" w:rsidRDefault="00AE2DAF" w:rsidP="00AE2DAF">
      <w:pPr>
        <w:pStyle w:val="a3"/>
        <w:ind w:firstLine="708"/>
        <w:rPr>
          <w:rFonts w:ascii="Times New Roman" w:hAnsi="Times New Roman"/>
          <w:sz w:val="28"/>
          <w:szCs w:val="28"/>
          <w:lang w:eastAsia="uk-UA"/>
        </w:rPr>
      </w:pPr>
      <w:r w:rsidRPr="00BB4646">
        <w:rPr>
          <w:rFonts w:ascii="Times New Roman" w:hAnsi="Times New Roman"/>
          <w:sz w:val="28"/>
          <w:szCs w:val="28"/>
          <w:lang w:eastAsia="uk-UA"/>
        </w:rPr>
        <w:t>кількість внесених місцевих ініціатив.</w:t>
      </w:r>
    </w:p>
    <w:p w:rsidR="00AE2DAF" w:rsidRPr="00BB4646" w:rsidRDefault="00AE2DAF" w:rsidP="00AE2DAF">
      <w:pPr>
        <w:pStyle w:val="a3"/>
        <w:ind w:firstLine="708"/>
        <w:rPr>
          <w:rFonts w:ascii="Times New Roman" w:hAnsi="Times New Roman"/>
          <w:sz w:val="28"/>
          <w:szCs w:val="28"/>
          <w:lang w:eastAsia="uk-UA"/>
        </w:rPr>
      </w:pPr>
    </w:p>
    <w:p w:rsidR="00AE2DAF" w:rsidRDefault="00AE2DAF" w:rsidP="00AE2DAF">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9. Заходи, за допомогою яких здійснюється відстеження</w:t>
      </w:r>
    </w:p>
    <w:p w:rsidR="00AE2DAF" w:rsidRPr="00BB4646" w:rsidRDefault="00AE2DAF" w:rsidP="00AE2DAF">
      <w:pPr>
        <w:pStyle w:val="a3"/>
        <w:jc w:val="center"/>
        <w:rPr>
          <w:rFonts w:ascii="Times New Roman" w:hAnsi="Times New Roman"/>
          <w:b/>
          <w:sz w:val="28"/>
          <w:szCs w:val="28"/>
          <w:lang w:eastAsia="uk-UA"/>
        </w:rPr>
      </w:pPr>
      <w:r>
        <w:rPr>
          <w:rFonts w:ascii="Times New Roman" w:hAnsi="Times New Roman"/>
          <w:b/>
          <w:sz w:val="28"/>
          <w:szCs w:val="28"/>
          <w:lang w:eastAsia="uk-UA"/>
        </w:rPr>
        <w:t>результативності акту</w:t>
      </w:r>
    </w:p>
    <w:p w:rsidR="00AE2DAF" w:rsidRPr="00BB4646" w:rsidRDefault="00AE2DAF" w:rsidP="00AE2DAF">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Відстеження рез</w:t>
      </w:r>
      <w:r>
        <w:rPr>
          <w:rFonts w:ascii="Times New Roman" w:hAnsi="Times New Roman"/>
          <w:sz w:val="28"/>
          <w:szCs w:val="28"/>
          <w:lang w:eastAsia="uk-UA"/>
        </w:rPr>
        <w:t>ультативності регуляторного акту</w:t>
      </w:r>
      <w:r w:rsidRPr="00BB4646">
        <w:rPr>
          <w:rFonts w:ascii="Times New Roman" w:hAnsi="Times New Roman"/>
          <w:sz w:val="28"/>
          <w:szCs w:val="28"/>
          <w:lang w:eastAsia="uk-UA"/>
        </w:rPr>
        <w:t xml:space="preserve"> буде відбуватися в порядку, передбаченому статтею 10 Закону України </w:t>
      </w:r>
      <w:proofErr w:type="spellStart"/>
      <w:r w:rsidRPr="00E10444">
        <w:rPr>
          <w:rFonts w:ascii="Times New Roman" w:hAnsi="Times New Roman"/>
          <w:bCs/>
          <w:sz w:val="28"/>
          <w:szCs w:val="28"/>
        </w:rPr>
        <w:t>„</w:t>
      </w:r>
      <w:r w:rsidRPr="001B0F50">
        <w:rPr>
          <w:rFonts w:ascii="Times New Roman" w:hAnsi="Times New Roman"/>
          <w:sz w:val="28"/>
          <w:szCs w:val="28"/>
          <w:lang w:eastAsia="uk-UA"/>
        </w:rPr>
        <w:t>Про</w:t>
      </w:r>
      <w:proofErr w:type="spellEnd"/>
      <w:r w:rsidRPr="001B0F50">
        <w:rPr>
          <w:rFonts w:ascii="Times New Roman" w:hAnsi="Times New Roman"/>
          <w:sz w:val="28"/>
          <w:szCs w:val="28"/>
          <w:lang w:eastAsia="uk-UA"/>
        </w:rPr>
        <w:t xml:space="preserve"> засади регуляторної політики у сфері господарської діяльності</w:t>
      </w:r>
      <w:r w:rsidRPr="00E10444">
        <w:rPr>
          <w:rFonts w:ascii="Times New Roman" w:hAnsi="Times New Roman"/>
          <w:bCs/>
          <w:sz w:val="28"/>
          <w:szCs w:val="28"/>
        </w:rPr>
        <w:t>“</w:t>
      </w:r>
      <w:r w:rsidRPr="00BB4646">
        <w:rPr>
          <w:rFonts w:ascii="Times New Roman" w:hAnsi="Times New Roman"/>
          <w:sz w:val="28"/>
          <w:szCs w:val="28"/>
          <w:lang w:eastAsia="uk-UA"/>
        </w:rPr>
        <w:t xml:space="preserve"> та згідно Постанові Кабінету Міністрів України № 308 від 11.03.2011 </w:t>
      </w:r>
      <w:proofErr w:type="spellStart"/>
      <w:r w:rsidRPr="00E10444">
        <w:rPr>
          <w:rFonts w:ascii="Times New Roman" w:hAnsi="Times New Roman"/>
          <w:bCs/>
          <w:sz w:val="28"/>
          <w:szCs w:val="28"/>
        </w:rPr>
        <w:t>„</w:t>
      </w:r>
      <w:r w:rsidRPr="00BB4646">
        <w:rPr>
          <w:rFonts w:ascii="Times New Roman" w:hAnsi="Times New Roman"/>
          <w:sz w:val="28"/>
          <w:szCs w:val="28"/>
          <w:lang w:eastAsia="uk-UA"/>
        </w:rPr>
        <w:t>Про</w:t>
      </w:r>
      <w:proofErr w:type="spellEnd"/>
      <w:r w:rsidRPr="00BB4646">
        <w:rPr>
          <w:rFonts w:ascii="Times New Roman" w:hAnsi="Times New Roman"/>
          <w:sz w:val="28"/>
          <w:szCs w:val="28"/>
          <w:lang w:eastAsia="uk-UA"/>
        </w:rPr>
        <w:t xml:space="preserve"> затвердження методики проведення аналізу впливу та відстеження результативності регуляторного акта</w:t>
      </w:r>
      <w:r w:rsidRPr="00E10444">
        <w:rPr>
          <w:rFonts w:ascii="Times New Roman" w:hAnsi="Times New Roman"/>
          <w:bCs/>
          <w:sz w:val="28"/>
          <w:szCs w:val="28"/>
        </w:rPr>
        <w:t>“</w:t>
      </w:r>
      <w:r w:rsidRPr="00BB4646">
        <w:rPr>
          <w:rFonts w:ascii="Times New Roman" w:hAnsi="Times New Roman"/>
          <w:sz w:val="28"/>
          <w:szCs w:val="28"/>
          <w:lang w:eastAsia="uk-UA"/>
        </w:rPr>
        <w:t>.</w:t>
      </w:r>
    </w:p>
    <w:p w:rsidR="00AE2DAF" w:rsidRDefault="00AE2DAF" w:rsidP="00AE2DAF">
      <w:pPr>
        <w:shd w:val="clear" w:color="auto" w:fill="FFFFFF"/>
        <w:spacing w:after="150" w:line="288" w:lineRule="atLeast"/>
        <w:jc w:val="both"/>
        <w:rPr>
          <w:rFonts w:ascii="Arial" w:eastAsia="Times New Roman" w:hAnsi="Arial" w:cs="Arial"/>
          <w:color w:val="000000"/>
          <w:sz w:val="18"/>
          <w:szCs w:val="18"/>
          <w:lang w:eastAsia="uk-UA"/>
        </w:rPr>
      </w:pPr>
      <w:r w:rsidRPr="00B855FE">
        <w:rPr>
          <w:rFonts w:ascii="Arial" w:eastAsia="Times New Roman" w:hAnsi="Arial" w:cs="Arial"/>
          <w:color w:val="000000"/>
          <w:sz w:val="18"/>
          <w:szCs w:val="18"/>
          <w:lang w:eastAsia="uk-UA"/>
        </w:rPr>
        <w:t> </w:t>
      </w:r>
    </w:p>
    <w:p w:rsidR="00AE2DAF" w:rsidRPr="00B855FE" w:rsidRDefault="00AE2DAF" w:rsidP="00AE2DAF">
      <w:pPr>
        <w:shd w:val="clear" w:color="auto" w:fill="FFFFFF"/>
        <w:spacing w:after="150" w:line="288" w:lineRule="atLeast"/>
        <w:jc w:val="both"/>
        <w:rPr>
          <w:rFonts w:ascii="Arial" w:eastAsia="Times New Roman" w:hAnsi="Arial" w:cs="Arial"/>
          <w:color w:val="000000"/>
          <w:sz w:val="18"/>
          <w:szCs w:val="18"/>
          <w:lang w:eastAsia="uk-UA"/>
        </w:rPr>
      </w:pPr>
    </w:p>
    <w:p w:rsidR="00AE2DAF" w:rsidRPr="00522884" w:rsidRDefault="00AE2DAF" w:rsidP="00AE2DAF">
      <w:pPr>
        <w:pStyle w:val="a3"/>
        <w:rPr>
          <w:rFonts w:ascii="Times New Roman" w:hAnsi="Times New Roman"/>
          <w:sz w:val="28"/>
          <w:szCs w:val="28"/>
          <w:lang w:eastAsia="uk-UA"/>
        </w:rPr>
      </w:pPr>
      <w:r w:rsidRPr="00522884">
        <w:rPr>
          <w:rFonts w:ascii="Times New Roman" w:hAnsi="Times New Roman"/>
          <w:sz w:val="28"/>
          <w:szCs w:val="28"/>
          <w:lang w:eastAsia="uk-UA"/>
        </w:rPr>
        <w:t>Міський голова                               </w:t>
      </w:r>
      <w:r>
        <w:rPr>
          <w:rFonts w:ascii="Times New Roman" w:hAnsi="Times New Roman"/>
          <w:sz w:val="28"/>
          <w:szCs w:val="28"/>
          <w:lang w:eastAsia="uk-UA"/>
        </w:rPr>
        <w:t xml:space="preserve">    </w:t>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Pr>
          <w:rFonts w:ascii="Times New Roman" w:hAnsi="Times New Roman"/>
          <w:sz w:val="28"/>
          <w:szCs w:val="28"/>
          <w:lang w:eastAsia="uk-UA"/>
        </w:rPr>
        <w:tab/>
      </w:r>
      <w:r w:rsidRPr="00522884">
        <w:rPr>
          <w:rFonts w:ascii="Times New Roman" w:hAnsi="Times New Roman"/>
          <w:sz w:val="28"/>
          <w:szCs w:val="28"/>
          <w:lang w:eastAsia="uk-UA"/>
        </w:rPr>
        <w:t xml:space="preserve"> </w:t>
      </w:r>
      <w:r>
        <w:rPr>
          <w:rFonts w:ascii="Times New Roman" w:hAnsi="Times New Roman"/>
          <w:sz w:val="28"/>
          <w:szCs w:val="28"/>
          <w:lang w:eastAsia="uk-UA"/>
        </w:rPr>
        <w:t>О.П.</w:t>
      </w:r>
      <w:proofErr w:type="spellStart"/>
      <w:r>
        <w:rPr>
          <w:rFonts w:ascii="Times New Roman" w:hAnsi="Times New Roman"/>
          <w:sz w:val="28"/>
          <w:szCs w:val="28"/>
          <w:lang w:eastAsia="uk-UA"/>
        </w:rPr>
        <w:t>Рябоконь</w:t>
      </w:r>
      <w:proofErr w:type="spellEnd"/>
    </w:p>
    <w:p w:rsidR="00AE2DAF" w:rsidRDefault="00AE2DAF" w:rsidP="00AE2DAF">
      <w:bookmarkStart w:id="0" w:name="_GoBack"/>
      <w:bookmarkEnd w:id="0"/>
    </w:p>
    <w:sectPr w:rsidR="00AE2DAF" w:rsidSect="000C0D62">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F"/>
    <w:rsid w:val="003643F9"/>
    <w:rsid w:val="007B39A0"/>
    <w:rsid w:val="00AE2D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D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D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D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4301</Words>
  <Characters>2452</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BIBLIOMIST</dc:creator>
  <cp:lastModifiedBy>BIBLIOMIST</cp:lastModifiedBy>
  <cp:revision>1</cp:revision>
  <dcterms:created xsi:type="dcterms:W3CDTF">2015-05-14T18:51:00Z</dcterms:created>
  <dcterms:modified xsi:type="dcterms:W3CDTF">2015-05-14T18:52:00Z</dcterms:modified>
</cp:coreProperties>
</file>